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F0C" w:rsidRDefault="00EA697B" w:rsidP="00A865EF">
      <w:pPr>
        <w:pStyle w:val="Titolo1"/>
        <w:spacing w:after="375"/>
        <w:ind w:left="561"/>
        <w:jc w:val="both"/>
      </w:pPr>
      <w:bookmarkStart w:id="0" w:name="_GoBack"/>
      <w:bookmarkEnd w:id="0"/>
      <w:r>
        <w:t>CONTRATTO P</w:t>
      </w:r>
      <w:r w:rsidR="00A865EF">
        <w:t xml:space="preserve">ER </w:t>
      </w:r>
      <w:r w:rsidR="00A865EF">
        <w:tab/>
        <w:t xml:space="preserve">INCARICO </w:t>
      </w:r>
      <w:r w:rsidR="00A865EF">
        <w:tab/>
        <w:t xml:space="preserve">PROFESSIONALE </w:t>
      </w:r>
      <w:r w:rsidR="00A865EF">
        <w:tab/>
        <w:t xml:space="preserve">DI </w:t>
      </w:r>
      <w:r>
        <w:t>RAPPRESENTANZA IN GIUDIZIO</w:t>
      </w:r>
      <w:r w:rsidR="00A865EF">
        <w:t>.</w:t>
      </w:r>
    </w:p>
    <w:p w:rsidR="00E84F0C" w:rsidRDefault="00EA697B">
      <w:pPr>
        <w:spacing w:after="310" w:line="309" w:lineRule="auto"/>
        <w:ind w:left="561"/>
      </w:pPr>
      <w:r>
        <w:t xml:space="preserve">L'Anno  ....... . , addì  ............ .del mese di , in …................ nella Residenza Comunale tra i sottoscritti: </w:t>
      </w:r>
    </w:p>
    <w:p w:rsidR="00E84F0C" w:rsidRDefault="00EA697B">
      <w:pPr>
        <w:spacing w:after="383"/>
        <w:ind w:left="561" w:right="379"/>
      </w:pPr>
      <w:r>
        <w:t xml:space="preserve">La responsabile </w:t>
      </w:r>
      <w:r w:rsidRPr="00A865EF">
        <w:rPr>
          <w:i/>
        </w:rPr>
        <w:t>ad interim</w:t>
      </w:r>
      <w:r>
        <w:t xml:space="preserve"> del I° settore dott.ssa Rosalia Maria Mustica</w:t>
      </w:r>
      <w:r w:rsidR="00A865EF">
        <w:t>,</w:t>
      </w:r>
      <w:r>
        <w:t xml:space="preserve">  la  quale dichiara di intervenire in questo atto esclusivamente in nome, per conto e nell'interesse esclusivo dell'Amministrazione che rappresenta . </w:t>
      </w:r>
    </w:p>
    <w:p w:rsidR="00E84F0C" w:rsidRDefault="00EA697B">
      <w:pPr>
        <w:spacing w:after="393" w:line="265" w:lineRule="auto"/>
        <w:ind w:left="561" w:right="137"/>
      </w:pPr>
      <w:r>
        <w:rPr>
          <w:sz w:val="21"/>
        </w:rPr>
        <w:t xml:space="preserve">                                                                     E </w:t>
      </w:r>
    </w:p>
    <w:p w:rsidR="00E84F0C" w:rsidRDefault="00EA697B">
      <w:pPr>
        <w:spacing w:after="24" w:line="259" w:lineRule="auto"/>
        <w:ind w:left="566" w:right="0" w:firstLine="0"/>
        <w:jc w:val="left"/>
      </w:pPr>
      <w:r>
        <w:rPr>
          <w:sz w:val="21"/>
        </w:rPr>
        <w:t xml:space="preserve"> </w:t>
      </w:r>
    </w:p>
    <w:p w:rsidR="00E84F0C" w:rsidRDefault="00EA697B">
      <w:pPr>
        <w:spacing w:after="396"/>
        <w:ind w:left="561" w:right="0"/>
      </w:pPr>
      <w:r>
        <w:t>L'avv. Luig</w:t>
      </w:r>
      <w:r w:rsidR="00A865EF">
        <w:t xml:space="preserve">i Tosetto, con studio in Via A. </w:t>
      </w:r>
      <w:r>
        <w:t>Gramsci</w:t>
      </w:r>
      <w:r w:rsidR="00A865EF">
        <w:t xml:space="preserve"> n. </w:t>
      </w:r>
      <w:r>
        <w:t>63,</w:t>
      </w:r>
      <w:r w:rsidR="00A865EF">
        <w:t xml:space="preserve"> </w:t>
      </w:r>
      <w:r>
        <w:t xml:space="preserve">Assoro (EN), C.F. TSTLGU53R17A478N – P.Iva 00130110869,  </w:t>
      </w:r>
    </w:p>
    <w:p w:rsidR="00E84F0C" w:rsidRDefault="00EA697B">
      <w:pPr>
        <w:spacing w:after="384"/>
        <w:ind w:left="561" w:right="0"/>
      </w:pPr>
      <w:r>
        <w:t>L’avv. Ones Benintende, con studio in via Dalmazia</w:t>
      </w:r>
      <w:r w:rsidR="00A865EF">
        <w:t xml:space="preserve"> n.</w:t>
      </w:r>
      <w:r>
        <w:t xml:space="preserve"> 81</w:t>
      </w:r>
      <w:r w:rsidR="00A865EF">
        <w:t>,</w:t>
      </w:r>
      <w:r>
        <w:t xml:space="preserve"> Leonforte (EN) C.F BNNNSO61B07E536K – P.IVA 00482170867, </w:t>
      </w:r>
    </w:p>
    <w:p w:rsidR="00E84F0C" w:rsidRDefault="00EA697B">
      <w:pPr>
        <w:spacing w:after="77" w:line="259" w:lineRule="auto"/>
        <w:ind w:left="566" w:right="0" w:firstLine="0"/>
        <w:jc w:val="left"/>
      </w:pPr>
      <w:r>
        <w:rPr>
          <w:color w:val="FF0000"/>
          <w:sz w:val="21"/>
        </w:rPr>
        <w:t xml:space="preserve"> </w:t>
      </w:r>
    </w:p>
    <w:p w:rsidR="00E84F0C" w:rsidRDefault="00EA697B">
      <w:pPr>
        <w:spacing w:after="60" w:line="259" w:lineRule="auto"/>
        <w:ind w:left="244" w:right="0" w:firstLine="0"/>
        <w:jc w:val="center"/>
      </w:pPr>
      <w:r>
        <w:rPr>
          <w:b/>
        </w:rPr>
        <w:t>PREMESSO CHE</w:t>
      </w:r>
      <w:r>
        <w:rPr>
          <w:sz w:val="21"/>
        </w:rPr>
        <w:t xml:space="preserve"> </w:t>
      </w:r>
    </w:p>
    <w:p w:rsidR="00E84F0C" w:rsidRDefault="00EA697B">
      <w:pPr>
        <w:spacing w:after="64" w:line="259" w:lineRule="auto"/>
        <w:ind w:left="566" w:right="0" w:firstLine="0"/>
        <w:jc w:val="left"/>
      </w:pPr>
      <w:r>
        <w:t xml:space="preserve"> </w:t>
      </w:r>
    </w:p>
    <w:p w:rsidR="00E84F0C" w:rsidRDefault="00EA697B">
      <w:pPr>
        <w:spacing w:after="86"/>
        <w:ind w:left="561" w:right="385"/>
      </w:pPr>
      <w:r>
        <w:t xml:space="preserve">con deliberazione di G C n. </w:t>
      </w:r>
      <w:r w:rsidR="00A865EF">
        <w:t>….</w:t>
      </w:r>
      <w:r>
        <w:t>..</w:t>
      </w:r>
      <w:r w:rsidR="00A865EF">
        <w:t xml:space="preserve">  del …..</w:t>
      </w:r>
      <w:r>
        <w:t xml:space="preserve"> immediatamente eseguibile, è stato stabilito di proporre ricorso per cassazione, innanzi alla Suprema Corte di Cassazione, avverso la sentenza della Corte di Appello di Caltanissetta</w:t>
      </w:r>
      <w:r w:rsidR="00A865EF">
        <w:t xml:space="preserve"> n. 366/2021</w:t>
      </w:r>
      <w:r>
        <w:t>, emessa il</w:t>
      </w:r>
      <w:r w:rsidR="00A865EF">
        <w:t xml:space="preserve"> 14.7.2021</w:t>
      </w:r>
      <w:r>
        <w:t xml:space="preserve">, pubblicata il  </w:t>
      </w:r>
      <w:r w:rsidR="00A865EF">
        <w:t>9.9.2021, nella controversia iscritta al n. 98/2014 vertente tra Arena Ignazio ed altri contro il Comune di Assoro e Sanfilippo Salvatore.</w:t>
      </w:r>
      <w:r>
        <w:t xml:space="preserve">                   </w:t>
      </w:r>
      <w:r>
        <w:rPr>
          <w:b/>
        </w:rPr>
        <w:t xml:space="preserve"> </w:t>
      </w:r>
    </w:p>
    <w:p w:rsidR="00E84F0C" w:rsidRDefault="00EA697B">
      <w:pPr>
        <w:spacing w:after="70" w:line="259" w:lineRule="auto"/>
        <w:ind w:left="566" w:right="0" w:firstLine="0"/>
        <w:jc w:val="left"/>
      </w:pPr>
      <w:r>
        <w:rPr>
          <w:b/>
        </w:rPr>
        <w:t xml:space="preserve"> </w:t>
      </w:r>
    </w:p>
    <w:p w:rsidR="00E84F0C" w:rsidRDefault="00EA697B">
      <w:pPr>
        <w:pStyle w:val="Titolo1"/>
        <w:spacing w:after="83"/>
        <w:ind w:left="561"/>
      </w:pPr>
      <w:r>
        <w:t>TANTO PREMESSO</w:t>
      </w:r>
      <w:r>
        <w:rPr>
          <w:b w:val="0"/>
          <w:sz w:val="21"/>
        </w:rPr>
        <w:t xml:space="preserve"> </w:t>
      </w:r>
    </w:p>
    <w:p w:rsidR="00E84F0C" w:rsidRDefault="00EA697B">
      <w:pPr>
        <w:spacing w:after="101" w:line="360" w:lineRule="auto"/>
        <w:ind w:left="561" w:right="0"/>
      </w:pPr>
      <w:r>
        <w:t xml:space="preserve">In data odierna, le parti, come sopra costituite, addivengono alla stipula del presente contratto, regolato dai seguenti patti e condizioni: </w:t>
      </w:r>
    </w:p>
    <w:p w:rsidR="00E84F0C" w:rsidRDefault="00EA697B">
      <w:pPr>
        <w:spacing w:after="162"/>
        <w:ind w:left="561" w:right="0"/>
      </w:pPr>
      <w:r>
        <w:t>Art. 1 - La premessa è parte integrante e sostanziale del presente atto.</w:t>
      </w:r>
      <w:r>
        <w:rPr>
          <w:color w:val="FF0000"/>
        </w:rPr>
        <w:t xml:space="preserve"> </w:t>
      </w:r>
    </w:p>
    <w:p w:rsidR="00E84F0C" w:rsidRPr="00ED1757" w:rsidRDefault="00EA697B">
      <w:pPr>
        <w:spacing w:after="144" w:line="356" w:lineRule="auto"/>
        <w:ind w:left="561" w:right="296"/>
        <w:rPr>
          <w:color w:val="FF0000"/>
        </w:rPr>
      </w:pPr>
      <w:r>
        <w:t xml:space="preserve">Art. 2 - L'incarico ha per oggetto la tutela degli interessi </w:t>
      </w:r>
      <w:r w:rsidR="00A865EF">
        <w:t xml:space="preserve">e la rappresentanza e difesa </w:t>
      </w:r>
      <w:r>
        <w:t>di questo Ente nel ricorso per cassazione da proporre avverso la sentenza sopra indicata,  con ogni più ampia facoltà di legge.  Il valore della causa è pari ad €. 1.300.000,00.</w:t>
      </w:r>
      <w:r w:rsidR="00986AB8">
        <w:t xml:space="preserve"> </w:t>
      </w:r>
      <w:r w:rsidR="00986AB8" w:rsidRPr="00A865EF">
        <w:rPr>
          <w:color w:val="auto"/>
        </w:rPr>
        <w:t>L’incarico che si conferisce comporta anche l’espletamento dell</w:t>
      </w:r>
      <w:r w:rsidR="00A865EF" w:rsidRPr="00A865EF">
        <w:rPr>
          <w:color w:val="auto"/>
        </w:rPr>
        <w:t>a</w:t>
      </w:r>
      <w:r w:rsidR="00986AB8" w:rsidRPr="00A865EF">
        <w:rPr>
          <w:color w:val="auto"/>
        </w:rPr>
        <w:t xml:space="preserve"> procedura di sospensiva</w:t>
      </w:r>
      <w:r w:rsidR="00940CAF" w:rsidRPr="00A865EF">
        <w:rPr>
          <w:color w:val="auto"/>
        </w:rPr>
        <w:t xml:space="preserve"> </w:t>
      </w:r>
      <w:r w:rsidR="00986AB8" w:rsidRPr="00A865EF">
        <w:rPr>
          <w:color w:val="auto"/>
        </w:rPr>
        <w:t>della sentenza</w:t>
      </w:r>
      <w:r w:rsidR="00940CAF" w:rsidRPr="00A865EF">
        <w:rPr>
          <w:color w:val="auto"/>
        </w:rPr>
        <w:t xml:space="preserve"> </w:t>
      </w:r>
      <w:r w:rsidR="00A865EF" w:rsidRPr="00A865EF">
        <w:rPr>
          <w:color w:val="auto"/>
        </w:rPr>
        <w:t xml:space="preserve">ex art. 373 del codice di procedura civile innanzi </w:t>
      </w:r>
      <w:r w:rsidR="00940CAF" w:rsidRPr="00A865EF">
        <w:rPr>
          <w:color w:val="auto"/>
        </w:rPr>
        <w:t>alla Corte D’Appello competente.</w:t>
      </w:r>
      <w:r w:rsidR="00986AB8" w:rsidRPr="00A865EF">
        <w:rPr>
          <w:color w:val="auto"/>
        </w:rPr>
        <w:t xml:space="preserve"> </w:t>
      </w:r>
    </w:p>
    <w:p w:rsidR="00E84F0C" w:rsidRDefault="00EA697B">
      <w:pPr>
        <w:spacing w:after="81" w:line="265" w:lineRule="auto"/>
        <w:ind w:left="561" w:right="137"/>
      </w:pPr>
      <w:r>
        <w:rPr>
          <w:sz w:val="21"/>
        </w:rPr>
        <w:t xml:space="preserve">Art. </w:t>
      </w:r>
      <w:r w:rsidR="00611FFB">
        <w:rPr>
          <w:sz w:val="21"/>
        </w:rPr>
        <w:t>3</w:t>
      </w:r>
      <w:r>
        <w:rPr>
          <w:sz w:val="21"/>
        </w:rPr>
        <w:t xml:space="preserve"> – Gli avvocati incaricati si impegnano a: </w:t>
      </w:r>
    </w:p>
    <w:p w:rsidR="00E84F0C" w:rsidRDefault="00EA697B">
      <w:pPr>
        <w:numPr>
          <w:ilvl w:val="0"/>
          <w:numId w:val="1"/>
        </w:numPr>
        <w:spacing w:after="72" w:line="353" w:lineRule="auto"/>
        <w:ind w:left="690" w:right="69" w:hanging="139"/>
      </w:pPr>
      <w:r>
        <w:rPr>
          <w:sz w:val="21"/>
        </w:rPr>
        <w:t xml:space="preserve">partecipare agli incontri   e alle riunioni organizzate presso la sede Comunale che riguardino le controversie oggetto dell'incarico affidatogli; </w:t>
      </w:r>
    </w:p>
    <w:p w:rsidR="00E84F0C" w:rsidRDefault="00EA697B" w:rsidP="00986AB8">
      <w:pPr>
        <w:numPr>
          <w:ilvl w:val="0"/>
          <w:numId w:val="1"/>
        </w:numPr>
        <w:spacing w:after="24" w:line="355" w:lineRule="auto"/>
        <w:ind w:left="690" w:right="69" w:hanging="139"/>
      </w:pPr>
      <w:r>
        <w:rPr>
          <w:sz w:val="21"/>
        </w:rPr>
        <w:t>aggiornare in maniera puntuale e costante l'Ente sullo stato delle controversie allegando la relativa documentazione. Il professionista prima di procedere al deposito o all'inoltro alla controparte di qualsiasi</w:t>
      </w:r>
      <w:r w:rsidR="00A865EF">
        <w:rPr>
          <w:sz w:val="21"/>
        </w:rPr>
        <w:t xml:space="preserve"> atto provvederà ad informare il </w:t>
      </w:r>
      <w:r w:rsidR="00986AB8">
        <w:rPr>
          <w:rFonts w:ascii="Calibri" w:eastAsia="Calibri" w:hAnsi="Calibri" w:cs="Calibri"/>
          <w:sz w:val="22"/>
        </w:rPr>
        <w:t xml:space="preserve"> </w:t>
      </w:r>
      <w:r w:rsidR="00986AB8">
        <w:rPr>
          <w:sz w:val="21"/>
        </w:rPr>
        <w:t xml:space="preserve">Responsabile  del </w:t>
      </w:r>
      <w:r>
        <w:rPr>
          <w:sz w:val="21"/>
        </w:rPr>
        <w:t xml:space="preserve">Settore </w:t>
      </w:r>
      <w:r>
        <w:rPr>
          <w:sz w:val="21"/>
        </w:rPr>
        <w:tab/>
        <w:t>interessato al</w:t>
      </w:r>
      <w:r w:rsidR="00A865EF">
        <w:rPr>
          <w:sz w:val="21"/>
        </w:rPr>
        <w:t xml:space="preserve"> c</w:t>
      </w:r>
      <w:r>
        <w:rPr>
          <w:sz w:val="21"/>
        </w:rPr>
        <w:t>ontenzioso;</w:t>
      </w:r>
    </w:p>
    <w:p w:rsidR="00E84F0C" w:rsidRDefault="00EA697B">
      <w:pPr>
        <w:numPr>
          <w:ilvl w:val="0"/>
          <w:numId w:val="1"/>
        </w:numPr>
        <w:spacing w:after="114"/>
        <w:ind w:left="690" w:right="69" w:hanging="139"/>
      </w:pPr>
      <w:r>
        <w:lastRenderedPageBreak/>
        <w:t xml:space="preserve">indicare al Comune, in relazione alle questioni delle quali è investito, le soluzioni che garantiscono maggiore efficacia ed economicità per l'Ente in conformità agli obbiettivi ed ai risultati che quest'ultimo si è prefissato; </w:t>
      </w:r>
    </w:p>
    <w:p w:rsidR="00E84F0C" w:rsidRDefault="00EA697B" w:rsidP="00E535FF">
      <w:pPr>
        <w:numPr>
          <w:ilvl w:val="0"/>
          <w:numId w:val="1"/>
        </w:numPr>
        <w:spacing w:after="46"/>
        <w:ind w:left="561" w:right="0" w:hanging="139"/>
      </w:pPr>
      <w:r>
        <w:t xml:space="preserve">non accettare incarichi né intraprendere cause contro il Comune di Assoro e che comunque lo pongano in una situazione di incompatibilità in ossequio a quanto previsto dal Codice Deontologico Forense; </w:t>
      </w:r>
    </w:p>
    <w:p w:rsidR="00E84F0C" w:rsidRDefault="00EA697B">
      <w:pPr>
        <w:ind w:left="561" w:right="0"/>
      </w:pPr>
      <w:r>
        <w:t xml:space="preserve">-osservare il codice deontologico; </w:t>
      </w:r>
    </w:p>
    <w:p w:rsidR="00E84F0C" w:rsidRDefault="00EA697B">
      <w:pPr>
        <w:numPr>
          <w:ilvl w:val="0"/>
          <w:numId w:val="1"/>
        </w:numPr>
        <w:spacing w:after="185"/>
        <w:ind w:left="690" w:right="69" w:hanging="139"/>
      </w:pPr>
      <w:r>
        <w:t>aggiornare per iscritto costantemente l’Ente sullo stato generale del giudizio, il rischio di soccombenza, all’atto dell’assunzione dell’incarico e, successivamente, con riferimento all’andamento del giudizio, l’esito delle singole udienze, con l’indicazione dell’attività posta in essere e di inviare in tempi congrui copia di ogni memoria, comparsa o altro scritto difensivo redatto nell’esercizio del mandato conferito;</w:t>
      </w:r>
      <w:r>
        <w:rPr>
          <w:color w:val="FF0000"/>
        </w:rPr>
        <w:t xml:space="preserve"> </w:t>
      </w:r>
    </w:p>
    <w:p w:rsidR="00E84F0C" w:rsidRDefault="00EA697B">
      <w:pPr>
        <w:numPr>
          <w:ilvl w:val="0"/>
          <w:numId w:val="1"/>
        </w:numPr>
        <w:spacing w:after="129"/>
        <w:ind w:left="690" w:right="69" w:hanging="139"/>
      </w:pPr>
      <w:r>
        <w:t xml:space="preserve">fornire  parere scritto in ordine all’eventuale proposta di transazione giudiziale. </w:t>
      </w:r>
    </w:p>
    <w:p w:rsidR="00E84F0C" w:rsidRDefault="00EA697B">
      <w:pPr>
        <w:spacing w:after="146" w:line="259" w:lineRule="auto"/>
        <w:ind w:left="278" w:right="0" w:firstLine="0"/>
        <w:jc w:val="left"/>
      </w:pPr>
      <w:r>
        <w:t xml:space="preserve"> </w:t>
      </w:r>
    </w:p>
    <w:p w:rsidR="00E84F0C" w:rsidRDefault="00EA697B">
      <w:pPr>
        <w:spacing w:after="181"/>
        <w:ind w:left="551" w:right="88" w:firstLine="72"/>
      </w:pPr>
      <w:r>
        <w:t xml:space="preserve">Art. </w:t>
      </w:r>
      <w:r w:rsidR="00611FFB">
        <w:t>4</w:t>
      </w:r>
      <w:r>
        <w:t xml:space="preserve"> - Il Comune si obbliga a fornire tempestivamente, per il tramite dei propri uffici e del proprio personale, ogni informazione, atti e documenti utili alla migliore difesa, richiesti dal legale. </w:t>
      </w:r>
    </w:p>
    <w:p w:rsidR="00E84F0C" w:rsidRDefault="00EA697B">
      <w:pPr>
        <w:spacing w:after="174"/>
        <w:ind w:left="561" w:right="0"/>
      </w:pPr>
      <w:r>
        <w:t xml:space="preserve">Art. </w:t>
      </w:r>
      <w:r w:rsidR="00611FFB">
        <w:t>5</w:t>
      </w:r>
      <w:r>
        <w:t xml:space="preserve"> - I Legali incaricati si impegnano a rispettare il preventivo di spesa presentato in data 07/01/2022 di €  58</w:t>
      </w:r>
      <w:r w:rsidR="00A865EF">
        <w:t>.</w:t>
      </w:r>
      <w:r>
        <w:t xml:space="preserve">237,82 più € 3.599,00 per spese. </w:t>
      </w:r>
    </w:p>
    <w:p w:rsidR="00E84F0C" w:rsidRDefault="00EA697B">
      <w:pPr>
        <w:spacing w:after="97"/>
        <w:ind w:left="561" w:right="0"/>
      </w:pPr>
      <w:r>
        <w:t xml:space="preserve">Il compenso professionale  viene determinato con riferimento  allo scaglione di riferimento di cui alle tabelle dei nuovi parametri forensi allegati al DM n. 55/2014. </w:t>
      </w:r>
    </w:p>
    <w:p w:rsidR="00E84F0C" w:rsidRDefault="00EA697B">
      <w:pPr>
        <w:ind w:left="561" w:right="0"/>
      </w:pPr>
      <w:r>
        <w:t xml:space="preserve">I professionisti hanno l'obbligo di presentare parcella preventiva specificando le voci di tariffa professionale applicate; </w:t>
      </w:r>
    </w:p>
    <w:p w:rsidR="00E84F0C" w:rsidRDefault="00EA697B">
      <w:pPr>
        <w:spacing w:line="259" w:lineRule="auto"/>
        <w:ind w:left="581" w:right="0" w:firstLine="0"/>
        <w:jc w:val="left"/>
      </w:pPr>
      <w:r>
        <w:t xml:space="preserve"> </w:t>
      </w:r>
      <w:r>
        <w:rPr>
          <w:color w:val="FF0000"/>
        </w:rPr>
        <w:t xml:space="preserve"> </w:t>
      </w:r>
    </w:p>
    <w:p w:rsidR="00E84F0C" w:rsidRDefault="00EA697B">
      <w:pPr>
        <w:spacing w:line="356" w:lineRule="auto"/>
        <w:ind w:left="561" w:right="0"/>
      </w:pPr>
      <w:r>
        <w:t>Art.</w:t>
      </w:r>
      <w:r w:rsidR="00611FFB">
        <w:t>6-</w:t>
      </w:r>
      <w:r>
        <w:t xml:space="preserve"> In presenza di cause di particolare complessità, onerosità e rilevanza la quantificazione del compenso per l’incarico potrà essere oggetto di revisione. </w:t>
      </w:r>
    </w:p>
    <w:p w:rsidR="00E84F0C" w:rsidRDefault="00EA697B">
      <w:pPr>
        <w:ind w:left="561" w:right="0"/>
      </w:pPr>
      <w:r>
        <w:t>In caso di esito favorevole della lite, qualora l’importo complessivo riconosciuto per la prestazione risulti inferiore alle spese liquidate dal Giudice in sentenza, sarà riconosciuto quest’ultimo importo, detratto l’acconto (che non può essere superiore al 20% dell’ammontare complessivo) ed i saldi parziali eventualmente corrisposti, a condizione che il soccombente abbia provveduto al pagamento e la somma sia stata effettivamente incassata dall'Ente.   Il Dirigente del Settore compete</w:t>
      </w:r>
      <w:r w:rsidR="00A865EF">
        <w:t>n</w:t>
      </w:r>
      <w:r>
        <w:t xml:space="preserve">te, in questa ultima ipotesi, potrà valutare se affidare il recupero delle somme liquidate direttamente al professionista incaricato. </w:t>
      </w:r>
    </w:p>
    <w:p w:rsidR="00E84F0C" w:rsidRDefault="00EA697B">
      <w:pPr>
        <w:ind w:left="561" w:right="0"/>
      </w:pPr>
      <w:r>
        <w:t>La spesa  determinata non potrà essere variata in aumento per tutta la durata del giudizio, salvo che per sopravvenuta e comprovata maggiore onerosità delle prestazioni rispetto a quelle inizialmente previste, opportunamente relazionate e documentate a cura del professionista incaricato.</w:t>
      </w:r>
      <w:r>
        <w:rPr>
          <w:color w:val="FF0000"/>
        </w:rPr>
        <w:t xml:space="preserve"> </w:t>
      </w:r>
    </w:p>
    <w:p w:rsidR="00E84F0C" w:rsidRDefault="00EA697B">
      <w:pPr>
        <w:ind w:left="561" w:right="0"/>
      </w:pPr>
      <w:r>
        <w:t>Potrà essere riconosciuto, altresì, il rimborso delle spese effettivamente sostenute, da comprovarsi con idonea documentazione, in misur</w:t>
      </w:r>
      <w:r w:rsidR="00A865EF">
        <w:t>a analitica e nei limiti previs</w:t>
      </w:r>
      <w:r>
        <w:t xml:space="preserve">ti dalle norme vigenti. </w:t>
      </w:r>
    </w:p>
    <w:p w:rsidR="00E84F0C" w:rsidRDefault="00EA697B">
      <w:pPr>
        <w:ind w:left="561" w:right="0"/>
      </w:pPr>
      <w:r>
        <w:t xml:space="preserve"> L’Amministrazione si riserva di effettuare il pagamento della parcella a saldo, anche in più soluzioni, da concordare con il legale incaricato, sulla base delle effettive disponibilità di bilancio. </w:t>
      </w:r>
    </w:p>
    <w:p w:rsidR="00E84F0C" w:rsidRDefault="00EA697B">
      <w:pPr>
        <w:spacing w:line="259" w:lineRule="auto"/>
        <w:ind w:left="566" w:right="0" w:firstLine="0"/>
        <w:jc w:val="left"/>
      </w:pPr>
      <w:r>
        <w:t xml:space="preserve"> </w:t>
      </w:r>
    </w:p>
    <w:p w:rsidR="00E84F0C" w:rsidRDefault="00EA697B">
      <w:pPr>
        <w:ind w:left="561" w:right="0"/>
      </w:pPr>
      <w:r>
        <w:t xml:space="preserve">Preventivamente all’invio della fattura elettronica, è fatto obbligo per il professionista di inviare notula </w:t>
      </w:r>
      <w:r>
        <w:rPr>
          <w:i/>
        </w:rPr>
        <w:t xml:space="preserve">pro forma </w:t>
      </w:r>
      <w:r>
        <w:t xml:space="preserve">al Servizio competente che verificherà la congruità della stessa con riferimento a quanto pattuito in occasione dell’incarico. E’, altresì, obbligo preliminare del professionista incaricato, fornire tutti gli elementi necessari ad una corretta procedura di liquidazione. La parcella a saldo verrà liquidata dietro presentazione: </w:t>
      </w:r>
    </w:p>
    <w:p w:rsidR="00E84F0C" w:rsidRDefault="00EA697B">
      <w:pPr>
        <w:numPr>
          <w:ilvl w:val="0"/>
          <w:numId w:val="2"/>
        </w:numPr>
        <w:spacing w:line="259" w:lineRule="auto"/>
        <w:ind w:right="0" w:hanging="139"/>
      </w:pPr>
      <w:r>
        <w:lastRenderedPageBreak/>
        <w:t xml:space="preserve">del fascicolo di causa contenente i verbali delle udienze e la relativa documentazione; </w:t>
      </w:r>
    </w:p>
    <w:p w:rsidR="00E84F0C" w:rsidRDefault="00EA697B">
      <w:pPr>
        <w:numPr>
          <w:ilvl w:val="0"/>
          <w:numId w:val="2"/>
        </w:numPr>
        <w:ind w:right="0" w:hanging="139"/>
      </w:pPr>
      <w:r>
        <w:t xml:space="preserve">del documento fiscale elettronico; </w:t>
      </w:r>
    </w:p>
    <w:p w:rsidR="00E84F0C" w:rsidRDefault="00EA697B">
      <w:pPr>
        <w:numPr>
          <w:ilvl w:val="0"/>
          <w:numId w:val="2"/>
        </w:numPr>
        <w:ind w:right="0" w:hanging="139"/>
      </w:pPr>
      <w:r>
        <w:t xml:space="preserve">di ogni ulteriore documento previsto dalla normativa vigente. </w:t>
      </w:r>
    </w:p>
    <w:p w:rsidR="00E84F0C" w:rsidRDefault="00EA697B">
      <w:pPr>
        <w:ind w:left="561" w:right="0"/>
      </w:pPr>
      <w:r>
        <w:t xml:space="preserve">Nel caso in cui per lo svolgimento dell’attività sia necessario avvalersi di un avvocato domiciliatario, o di apposita figura tecnica, in ragione anche della natura della controversia, la parcella sarà unica per il professionista incaricato, che provvederà a sue cure e spese in ordine alle predette incombenze, salvo diversamente concordato con l'Ente. </w:t>
      </w:r>
    </w:p>
    <w:p w:rsidR="00E84F0C" w:rsidRDefault="00EA697B">
      <w:pPr>
        <w:spacing w:after="199" w:line="259" w:lineRule="auto"/>
        <w:ind w:left="566" w:right="0" w:firstLine="0"/>
        <w:jc w:val="left"/>
      </w:pPr>
      <w:r>
        <w:t xml:space="preserve"> </w:t>
      </w:r>
    </w:p>
    <w:p w:rsidR="00E84F0C" w:rsidRDefault="00EA697B">
      <w:pPr>
        <w:spacing w:after="182" w:line="356" w:lineRule="auto"/>
        <w:ind w:left="561" w:right="82"/>
      </w:pPr>
      <w:r>
        <w:t xml:space="preserve">Art. </w:t>
      </w:r>
      <w:r w:rsidR="00611FFB">
        <w:t>7</w:t>
      </w:r>
      <w:r>
        <w:t xml:space="preserve"> - Il foro per le controversi che dovessero insorgere relativamente all'affidamento del presente servizio e/o alla liquidazione del compenso convenzione ed in genere tutte quelle non definite in via amministrativa è quello di Enna. </w:t>
      </w:r>
    </w:p>
    <w:p w:rsidR="00E84F0C" w:rsidRDefault="00EA697B">
      <w:pPr>
        <w:spacing w:after="181" w:line="358" w:lineRule="auto"/>
        <w:ind w:left="561" w:right="78"/>
      </w:pPr>
      <w:r>
        <w:t xml:space="preserve">Art. </w:t>
      </w:r>
      <w:r w:rsidR="00611FFB">
        <w:t>8</w:t>
      </w:r>
      <w:r>
        <w:t xml:space="preserve"> - Il Comune, ai sensi del D.    Lgs. n. 196/2003, informa i legali — i quali ne prendono atto e danno il relativo consenso — che tratteranno i dati contenuti nel presente contratto esclusivamente per lo svolgimento delle attività e per l'assolvimento degli obblighi previsti dalle leggi e dai regolamenti comunali in materia. </w:t>
      </w:r>
    </w:p>
    <w:p w:rsidR="00E84F0C" w:rsidRDefault="00EA697B">
      <w:pPr>
        <w:spacing w:after="152" w:line="356" w:lineRule="auto"/>
        <w:ind w:left="561" w:right="104"/>
      </w:pPr>
      <w:r>
        <w:t xml:space="preserve">Art. </w:t>
      </w:r>
      <w:r w:rsidR="00611FFB">
        <w:t>9</w:t>
      </w:r>
      <w:r>
        <w:t xml:space="preserve"> -La sottoscrizione del presente contratto di affidament</w:t>
      </w:r>
      <w:r w:rsidR="00275A19">
        <w:t>o del servizio legale   costituisce accettazione integrale delle condizioni e delle modalit</w:t>
      </w:r>
      <w:r>
        <w:t xml:space="preserve">à in esso contenute o richiamate. </w:t>
      </w:r>
    </w:p>
    <w:p w:rsidR="00E84F0C" w:rsidRDefault="00EA697B">
      <w:pPr>
        <w:ind w:left="10" w:right="0"/>
      </w:pPr>
      <w:r>
        <w:t>Letto, approvato e sottoscritto,</w:t>
      </w:r>
      <w:r>
        <w:rPr>
          <w:rFonts w:ascii="Arial" w:eastAsia="Arial" w:hAnsi="Arial" w:cs="Arial"/>
        </w:rPr>
        <w:t xml:space="preserve"> </w:t>
      </w:r>
    </w:p>
    <w:p w:rsidR="00E84F0C" w:rsidRDefault="00EA697B">
      <w:pPr>
        <w:spacing w:line="259" w:lineRule="auto"/>
        <w:ind w:left="0" w:right="0" w:firstLine="0"/>
        <w:jc w:val="left"/>
      </w:pPr>
      <w:r>
        <w:rPr>
          <w:rFonts w:ascii="Arial" w:eastAsia="Arial" w:hAnsi="Arial" w:cs="Arial"/>
        </w:rPr>
        <w:t xml:space="preserve"> </w:t>
      </w:r>
    </w:p>
    <w:p w:rsidR="00E84F0C" w:rsidRDefault="00EA697B">
      <w:pPr>
        <w:spacing w:line="259" w:lineRule="auto"/>
        <w:ind w:left="0" w:right="0" w:firstLine="0"/>
        <w:jc w:val="left"/>
      </w:pPr>
      <w:r>
        <w:t xml:space="preserve"> </w:t>
      </w:r>
    </w:p>
    <w:p w:rsidR="00E84F0C" w:rsidRDefault="00EA697B">
      <w:pPr>
        <w:spacing w:line="259" w:lineRule="auto"/>
        <w:ind w:left="869" w:right="0" w:firstLine="0"/>
        <w:jc w:val="left"/>
      </w:pPr>
      <w:r>
        <w:t xml:space="preserve"> </w:t>
      </w:r>
    </w:p>
    <w:p w:rsidR="00E84F0C" w:rsidRDefault="00EA697B">
      <w:pPr>
        <w:spacing w:line="259" w:lineRule="auto"/>
        <w:ind w:left="302" w:right="0" w:firstLine="0"/>
        <w:jc w:val="left"/>
      </w:pPr>
      <w:r>
        <w:t xml:space="preserve"> </w:t>
      </w:r>
    </w:p>
    <w:sectPr w:rsidR="00E84F0C">
      <w:pgSz w:w="11900" w:h="16840"/>
      <w:pgMar w:top="1375" w:right="1118" w:bottom="74"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894"/>
    <w:multiLevelType w:val="hybridMultilevel"/>
    <w:tmpl w:val="ED9E8F16"/>
    <w:lvl w:ilvl="0" w:tplc="AD54DEFE">
      <w:start w:val="1"/>
      <w:numFmt w:val="bullet"/>
      <w:lvlText w:val="-"/>
      <w:lvlJc w:val="left"/>
      <w:pPr>
        <w:ind w:left="69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48AAFF6">
      <w:start w:val="1"/>
      <w:numFmt w:val="bullet"/>
      <w:lvlText w:val="o"/>
      <w:lvlJc w:val="left"/>
      <w:pPr>
        <w:ind w:left="12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424FE0E">
      <w:start w:val="1"/>
      <w:numFmt w:val="bullet"/>
      <w:lvlText w:val="▪"/>
      <w:lvlJc w:val="left"/>
      <w:pPr>
        <w:ind w:left="19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32E0D0A">
      <w:start w:val="1"/>
      <w:numFmt w:val="bullet"/>
      <w:lvlText w:val="•"/>
      <w:lvlJc w:val="left"/>
      <w:pPr>
        <w:ind w:left="27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38AB77A">
      <w:start w:val="1"/>
      <w:numFmt w:val="bullet"/>
      <w:lvlText w:val="o"/>
      <w:lvlJc w:val="left"/>
      <w:pPr>
        <w:ind w:left="34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A62C8EA">
      <w:start w:val="1"/>
      <w:numFmt w:val="bullet"/>
      <w:lvlText w:val="▪"/>
      <w:lvlJc w:val="left"/>
      <w:pPr>
        <w:ind w:left="41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9780FBC">
      <w:start w:val="1"/>
      <w:numFmt w:val="bullet"/>
      <w:lvlText w:val="•"/>
      <w:lvlJc w:val="left"/>
      <w:pPr>
        <w:ind w:left="48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B98C2AC">
      <w:start w:val="1"/>
      <w:numFmt w:val="bullet"/>
      <w:lvlText w:val="o"/>
      <w:lvlJc w:val="left"/>
      <w:pPr>
        <w:ind w:left="55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DD56E0B2">
      <w:start w:val="1"/>
      <w:numFmt w:val="bullet"/>
      <w:lvlText w:val="▪"/>
      <w:lvlJc w:val="left"/>
      <w:pPr>
        <w:ind w:left="63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5A2751CA"/>
    <w:multiLevelType w:val="hybridMultilevel"/>
    <w:tmpl w:val="F84AF718"/>
    <w:lvl w:ilvl="0" w:tplc="FCD04AA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E6E82A">
      <w:start w:val="1"/>
      <w:numFmt w:val="bullet"/>
      <w:lvlText w:val="o"/>
      <w:lvlJc w:val="left"/>
      <w:pPr>
        <w:ind w:left="2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30BF08">
      <w:start w:val="1"/>
      <w:numFmt w:val="bullet"/>
      <w:lvlText w:val="▪"/>
      <w:lvlJc w:val="left"/>
      <w:pPr>
        <w:ind w:left="2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188A28">
      <w:start w:val="1"/>
      <w:numFmt w:val="bullet"/>
      <w:lvlText w:val="•"/>
      <w:lvlJc w:val="left"/>
      <w:pPr>
        <w:ind w:left="3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524D46">
      <w:start w:val="1"/>
      <w:numFmt w:val="bullet"/>
      <w:lvlText w:val="o"/>
      <w:lvlJc w:val="left"/>
      <w:pPr>
        <w:ind w:left="4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B88FAA">
      <w:start w:val="1"/>
      <w:numFmt w:val="bullet"/>
      <w:lvlText w:val="▪"/>
      <w:lvlJc w:val="left"/>
      <w:pPr>
        <w:ind w:left="5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086444">
      <w:start w:val="1"/>
      <w:numFmt w:val="bullet"/>
      <w:lvlText w:val="•"/>
      <w:lvlJc w:val="left"/>
      <w:pPr>
        <w:ind w:left="5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7E174E">
      <w:start w:val="1"/>
      <w:numFmt w:val="bullet"/>
      <w:lvlText w:val="o"/>
      <w:lvlJc w:val="left"/>
      <w:pPr>
        <w:ind w:left="65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A07DD2">
      <w:start w:val="1"/>
      <w:numFmt w:val="bullet"/>
      <w:lvlText w:val="▪"/>
      <w:lvlJc w:val="left"/>
      <w:pPr>
        <w:ind w:left="7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F0C"/>
    <w:rsid w:val="00036432"/>
    <w:rsid w:val="00275A19"/>
    <w:rsid w:val="00343015"/>
    <w:rsid w:val="00611FFB"/>
    <w:rsid w:val="00940CAF"/>
    <w:rsid w:val="00986AB8"/>
    <w:rsid w:val="00A865EF"/>
    <w:rsid w:val="00B00524"/>
    <w:rsid w:val="00E84F0C"/>
    <w:rsid w:val="00EA697B"/>
    <w:rsid w:val="00ED175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C24D85-C71E-40D1-8546-7245DF0DA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0" w:line="248" w:lineRule="auto"/>
      <w:ind w:left="576" w:right="390" w:hanging="10"/>
      <w:jc w:val="both"/>
    </w:pPr>
    <w:rPr>
      <w:rFonts w:ascii="Times New Roman" w:eastAsia="Times New Roman" w:hAnsi="Times New Roman" w:cs="Times New Roman"/>
      <w:color w:val="000000"/>
      <w:sz w:val="24"/>
    </w:rPr>
  </w:style>
  <w:style w:type="paragraph" w:styleId="Titolo1">
    <w:name w:val="heading 1"/>
    <w:next w:val="Normale"/>
    <w:link w:val="Titolo1Carattere"/>
    <w:uiPriority w:val="9"/>
    <w:unhideWhenUsed/>
    <w:qFormat/>
    <w:pPr>
      <w:keepNext/>
      <w:keepLines/>
      <w:spacing w:after="0" w:line="265" w:lineRule="auto"/>
      <w:ind w:left="576" w:hanging="10"/>
      <w:outlineLvl w:val="0"/>
    </w:pPr>
    <w:rPr>
      <w:rFonts w:ascii="Times New Roman" w:eastAsia="Times New Roman" w:hAnsi="Times New Roman" w:cs="Times New Roman"/>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1082</Words>
  <Characters>6173</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Microsoft Word - Assoro- schema di contratto TER (1)-1</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Assoro- schema di contratto TER (1)-1</dc:title>
  <dc:subject/>
  <dc:creator>UTENTE</dc:creator>
  <cp:keywords/>
  <cp:lastModifiedBy>Utente Windows</cp:lastModifiedBy>
  <cp:revision>3</cp:revision>
  <dcterms:created xsi:type="dcterms:W3CDTF">2022-01-27T09:38:00Z</dcterms:created>
  <dcterms:modified xsi:type="dcterms:W3CDTF">2022-01-27T09:38:00Z</dcterms:modified>
</cp:coreProperties>
</file>