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r>
    </w:p>
    <w:p>
      <w:pPr>
        <w:pStyle w:val="Normal"/>
        <w:rPr/>
      </w:pPr>
      <w:r>
        <w:rPr/>
      </w:r>
    </w:p>
    <w:p>
      <w:pPr>
        <w:pStyle w:val="Normal"/>
        <w:jc w:val="center"/>
        <w:rPr>
          <w:b/>
          <w:b/>
          <w:sz w:val="28"/>
          <w:szCs w:val="28"/>
        </w:rPr>
      </w:pPr>
      <w:r>
        <w:rPr>
          <w:b/>
        </w:rPr>
        <w:t xml:space="preserve">                                                        </w:t>
      </w:r>
      <w:r>
        <w:rPr>
          <w:b/>
          <w:sz w:val="28"/>
          <w:szCs w:val="28"/>
        </w:rPr>
        <w:t xml:space="preserve">           </w:t>
      </w:r>
      <w:r>
        <w:rPr>
          <w:b/>
          <w:sz w:val="28"/>
          <w:szCs w:val="28"/>
        </w:rPr>
        <w:t>COMUNE DI ASSORO</w:t>
      </w:r>
    </w:p>
    <w:p>
      <w:pPr>
        <w:pStyle w:val="Normal"/>
        <w:jc w:val="center"/>
        <w:rPr>
          <w:b/>
          <w:b/>
          <w:sz w:val="28"/>
          <w:szCs w:val="28"/>
        </w:rPr>
      </w:pPr>
      <w:r>
        <w:rPr>
          <w:b/>
          <w:sz w:val="28"/>
          <w:szCs w:val="28"/>
        </w:rPr>
        <w:t xml:space="preserve">                                                         </w:t>
      </w:r>
      <w:r>
        <w:rPr>
          <w:b/>
          <w:sz w:val="28"/>
          <w:szCs w:val="28"/>
        </w:rPr>
        <w:t xml:space="preserve">PROSPETTO PERCOROSO DI RIDUZIONE DEL </w:t>
      </w:r>
    </w:p>
    <w:p>
      <w:pPr>
        <w:pStyle w:val="Normal"/>
        <w:ind w:right="1921" w:hanging="0"/>
        <w:jc w:val="center"/>
        <w:rPr>
          <w:b/>
          <w:b/>
          <w:sz w:val="28"/>
          <w:szCs w:val="28"/>
        </w:rPr>
      </w:pPr>
      <w:r>
        <w:rPr>
          <w:b/>
          <w:sz w:val="28"/>
          <w:szCs w:val="28"/>
        </w:rPr>
        <w:t xml:space="preserve">                             </w:t>
      </w:r>
      <w:r>
        <w:rPr>
          <w:b/>
          <w:sz w:val="28"/>
          <w:szCs w:val="28"/>
        </w:rPr>
        <w:t>RAPPORTO SPESA PERSONALE/ENTRATE CORRENTI 2024/2026</w:t>
      </w:r>
    </w:p>
    <w:p>
      <w:pPr>
        <w:pStyle w:val="Normal"/>
        <w:rPr/>
      </w:pPr>
      <w:r>
        <w:rPr/>
      </w:r>
    </w:p>
    <w:p>
      <w:pPr>
        <w:pStyle w:val="Normal"/>
        <w:rPr/>
      </w:pPr>
      <w:r>
        <w:rPr/>
        <w:t xml:space="preserve">ALLEGATO N.        </w:t>
      </w:r>
    </w:p>
    <w:tbl>
      <w:tblPr>
        <w:tblStyle w:val="TableGrid"/>
        <w:tblpPr w:vertAnchor="text" w:horzAnchor="margin" w:leftFromText="141" w:rightFromText="141" w:tblpX="0" w:tblpY="-13"/>
        <w:tblW w:w="15158" w:type="dxa"/>
        <w:jc w:val="left"/>
        <w:tblInd w:w="-10" w:type="dxa"/>
        <w:tblLayout w:type="fixed"/>
        <w:tblCellMar>
          <w:top w:w="9" w:type="dxa"/>
          <w:left w:w="36" w:type="dxa"/>
          <w:bottom w:w="0" w:type="dxa"/>
          <w:right w:w="33" w:type="dxa"/>
        </w:tblCellMar>
        <w:tblLook w:firstRow="1" w:noVBand="1" w:lastRow="0" w:firstColumn="1" w:lastColumn="0" w:noHBand="0" w:val="04a0"/>
      </w:tblPr>
      <w:tblGrid>
        <w:gridCol w:w="9429"/>
        <w:gridCol w:w="1452"/>
        <w:gridCol w:w="2297"/>
        <w:gridCol w:w="1979"/>
      </w:tblGrid>
      <w:tr>
        <w:trPr>
          <w:trHeight w:val="886" w:hRule="atLeast"/>
        </w:trPr>
        <w:tc>
          <w:tcPr>
            <w:tcW w:w="9429"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3"/>
              <w:ind w:right="0"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 xml:space="preserve">STANZIAMENTI SPESA DEL PERSONALE AL NETTO DELL'IRAP E DELLE RISORSE </w:t>
            </w:r>
          </w:p>
          <w:p>
            <w:pPr>
              <w:pStyle w:val="Normal"/>
              <w:widowControl/>
              <w:spacing w:lineRule="auto" w:line="259" w:before="0" w:after="0"/>
              <w:ind w:right="0"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PROVENIENTI DA ALTRI SOGGETTI PER NUOVE ASSUNZIONI (ART.57, COMMA 3SEPTIES, DL 104/2020 CONVERTITO DALLA LEGGE 126/2020)</w:t>
            </w:r>
          </w:p>
        </w:tc>
        <w:tc>
          <w:tcPr>
            <w:tcW w:w="1452" w:type="dxa"/>
            <w:tcBorders>
              <w:top w:val="single" w:sz="8" w:space="0" w:color="000000"/>
              <w:left w:val="single" w:sz="8" w:space="0" w:color="000000"/>
              <w:bottom w:val="single" w:sz="8" w:space="0" w:color="000000"/>
              <w:right w:val="single" w:sz="8" w:space="0" w:color="000000"/>
            </w:tcBorders>
            <w:vAlign w:val="center"/>
          </w:tcPr>
          <w:p>
            <w:pPr>
              <w:pStyle w:val="Normal"/>
              <w:widowControl/>
              <w:spacing w:lineRule="auto" w:line="259" w:before="0" w:after="0"/>
              <w:ind w:left="3" w:right="0" w:hanging="0"/>
              <w:jc w:val="center"/>
              <w:rPr>
                <w:kern w:val="0"/>
                <w:sz w:val="22"/>
                <w:szCs w:val="22"/>
                <w:lang w:val="it-IT" w:bidi="ar-SA"/>
              </w:rPr>
            </w:pPr>
            <w:r>
              <w:rPr>
                <w:rFonts w:eastAsia="Times New Roman" w:cs="Times New Roman" w:ascii="Times New Roman" w:hAnsi="Times New Roman"/>
                <w:b/>
                <w:color w:val="000000"/>
                <w:kern w:val="0"/>
                <w:sz w:val="22"/>
                <w:szCs w:val="22"/>
                <w:lang w:val="it-IT" w:bidi="ar-SA"/>
              </w:rPr>
              <w:t>IMPORTI</w:t>
            </w:r>
          </w:p>
        </w:tc>
        <w:tc>
          <w:tcPr>
            <w:tcW w:w="2297" w:type="dxa"/>
            <w:tcBorders>
              <w:top w:val="single" w:sz="14" w:space="0" w:color="000000"/>
              <w:left w:val="single" w:sz="8" w:space="0" w:color="000000"/>
              <w:bottom w:val="single" w:sz="8" w:space="0" w:color="000000"/>
              <w:right w:val="single" w:sz="8" w:space="0" w:color="000000"/>
            </w:tcBorders>
            <w:vAlign w:val="center"/>
          </w:tcPr>
          <w:p>
            <w:pPr>
              <w:pStyle w:val="Normal"/>
              <w:widowControl/>
              <w:spacing w:lineRule="auto" w:line="259" w:before="0" w:after="0"/>
              <w:ind w:left="2" w:right="0" w:hanging="0"/>
              <w:jc w:val="left"/>
              <w:rPr>
                <w:kern w:val="0"/>
                <w:sz w:val="22"/>
                <w:szCs w:val="22"/>
                <w:lang w:val="it-IT" w:bidi="ar-SA"/>
              </w:rPr>
            </w:pPr>
            <w:r>
              <w:rPr>
                <w:rFonts w:eastAsia="Times New Roman" w:cs="Times New Roman" w:ascii="Times New Roman" w:hAnsi="Times New Roman"/>
                <w:b/>
                <w:color w:val="000000"/>
                <w:kern w:val="0"/>
                <w:sz w:val="22"/>
                <w:szCs w:val="22"/>
                <w:lang w:val="it-IT" w:bidi="ar-SA"/>
              </w:rPr>
              <w:t>IMPORTI LORDI</w:t>
            </w:r>
          </w:p>
        </w:tc>
        <w:tc>
          <w:tcPr>
            <w:tcW w:w="1979" w:type="dxa"/>
            <w:tcBorders>
              <w:top w:val="single" w:sz="14" w:space="0" w:color="000000"/>
              <w:left w:val="single" w:sz="8" w:space="0" w:color="000000"/>
              <w:bottom w:val="single" w:sz="8" w:space="0" w:color="000000"/>
              <w:right w:val="single" w:sz="14" w:space="0" w:color="000000"/>
            </w:tcBorders>
          </w:tcPr>
          <w:p>
            <w:pPr>
              <w:pStyle w:val="Normal"/>
              <w:widowControl/>
              <w:spacing w:lineRule="auto" w:line="259" w:before="0" w:after="2"/>
              <w:ind w:left="2" w:right="0" w:hanging="0"/>
              <w:jc w:val="left"/>
              <w:rPr>
                <w:kern w:val="0"/>
                <w:sz w:val="22"/>
                <w:szCs w:val="22"/>
                <w:lang w:val="it-IT" w:bidi="ar-SA"/>
              </w:rPr>
            </w:pPr>
            <w:r>
              <w:rPr>
                <w:rFonts w:eastAsia="Times New Roman" w:cs="Times New Roman" w:ascii="Times New Roman" w:hAnsi="Times New Roman"/>
                <w:b/>
                <w:color w:val="000000"/>
                <w:kern w:val="0"/>
                <w:sz w:val="22"/>
                <w:szCs w:val="22"/>
                <w:lang w:val="it-IT" w:bidi="ar-SA"/>
              </w:rPr>
              <w:t xml:space="preserve">RISORSE ALTRI </w:t>
            </w:r>
          </w:p>
          <w:p>
            <w:pPr>
              <w:pStyle w:val="Normal"/>
              <w:widowControl/>
              <w:spacing w:lineRule="auto" w:line="259" w:before="0" w:after="0"/>
              <w:ind w:left="2" w:right="0" w:hanging="0"/>
              <w:jc w:val="left"/>
              <w:rPr>
                <w:kern w:val="0"/>
                <w:sz w:val="22"/>
                <w:szCs w:val="22"/>
                <w:lang w:val="it-IT" w:bidi="ar-SA"/>
              </w:rPr>
            </w:pPr>
            <w:r>
              <w:rPr>
                <w:rFonts w:eastAsia="Times New Roman" w:cs="Times New Roman" w:ascii="Times New Roman" w:hAnsi="Times New Roman"/>
                <w:b/>
                <w:color w:val="000000"/>
                <w:kern w:val="0"/>
                <w:sz w:val="22"/>
                <w:szCs w:val="22"/>
                <w:lang w:val="it-IT" w:bidi="ar-SA"/>
              </w:rPr>
              <w:t>ENTI(ASS.SOCIAI, PNRR)</w:t>
            </w:r>
          </w:p>
        </w:tc>
      </w:tr>
      <w:tr>
        <w:trPr>
          <w:trHeight w:val="305" w:hRule="atLeast"/>
        </w:trPr>
        <w:tc>
          <w:tcPr>
            <w:tcW w:w="9429"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left"/>
              <w:rPr>
                <w:kern w:val="0"/>
                <w:szCs w:val="22"/>
                <w:lang w:val="it-IT" w:bidi="ar-SA"/>
              </w:rPr>
            </w:pPr>
            <w:r>
              <w:rPr>
                <w:rFonts w:eastAsia="Times New Roman" w:cs="Times New Roman" w:ascii="Times New Roman" w:hAnsi="Times New Roman"/>
                <w:color w:val="000000"/>
                <w:kern w:val="0"/>
                <w:sz w:val="20"/>
                <w:szCs w:val="22"/>
                <w:lang w:val="it-IT" w:bidi="ar-SA"/>
              </w:rPr>
              <w:t>Spesa del personale lorda senza IRAP PREVISIONE ANNO 2024</w:t>
            </w:r>
          </w:p>
        </w:tc>
        <w:tc>
          <w:tcPr>
            <w:tcW w:w="1452"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right"/>
              <w:rPr>
                <w:b/>
                <w:b/>
              </w:rPr>
            </w:pPr>
            <w:r>
              <w:rPr>
                <w:b/>
                <w:kern w:val="0"/>
                <w:sz w:val="22"/>
                <w:szCs w:val="22"/>
                <w:lang w:val="it-IT" w:bidi="ar-SA"/>
              </w:rPr>
              <w:t>1.314.050,41</w:t>
            </w:r>
          </w:p>
        </w:tc>
        <w:tc>
          <w:tcPr>
            <w:tcW w:w="2297"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2" w:hanging="0"/>
              <w:jc w:val="right"/>
              <w:rPr>
                <w:b/>
                <w:b/>
              </w:rPr>
            </w:pPr>
            <w:r>
              <w:rPr>
                <w:b/>
                <w:kern w:val="0"/>
                <w:sz w:val="22"/>
                <w:szCs w:val="22"/>
                <w:lang w:val="it-IT" w:bidi="ar-SA"/>
              </w:rPr>
              <w:t>1.390.945,13</w:t>
            </w:r>
          </w:p>
        </w:tc>
        <w:tc>
          <w:tcPr>
            <w:tcW w:w="1979"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2" w:hanging="0"/>
              <w:jc w:val="right"/>
              <w:rPr>
                <w:b/>
                <w:b/>
              </w:rPr>
            </w:pPr>
            <w:r>
              <w:rPr>
                <w:b/>
                <w:kern w:val="0"/>
                <w:sz w:val="22"/>
                <w:szCs w:val="22"/>
                <w:lang w:val="it-IT" w:bidi="ar-SA"/>
              </w:rPr>
              <w:t>76.894,72</w:t>
            </w:r>
          </w:p>
        </w:tc>
      </w:tr>
      <w:tr>
        <w:trPr>
          <w:trHeight w:val="305" w:hRule="atLeast"/>
        </w:trPr>
        <w:tc>
          <w:tcPr>
            <w:tcW w:w="9429"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left"/>
              <w:rPr>
                <w:kern w:val="0"/>
                <w:szCs w:val="22"/>
                <w:lang w:val="it-IT" w:bidi="ar-SA"/>
              </w:rPr>
            </w:pPr>
            <w:r>
              <w:rPr>
                <w:rFonts w:eastAsia="Times New Roman" w:cs="Times New Roman" w:ascii="Times New Roman" w:hAnsi="Times New Roman"/>
                <w:color w:val="000000"/>
                <w:kern w:val="0"/>
                <w:sz w:val="20"/>
                <w:szCs w:val="22"/>
                <w:lang w:val="it-IT" w:bidi="ar-SA"/>
              </w:rPr>
              <w:t>Spesa del personale lorda senza IRAP PREVISIONE ANNO 2025</w:t>
            </w:r>
          </w:p>
        </w:tc>
        <w:tc>
          <w:tcPr>
            <w:tcW w:w="1452"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right"/>
              <w:rPr>
                <w:b/>
                <w:b/>
              </w:rPr>
            </w:pPr>
            <w:r>
              <w:rPr>
                <w:b/>
                <w:kern w:val="0"/>
                <w:sz w:val="22"/>
                <w:szCs w:val="22"/>
                <w:lang w:val="it-IT" w:bidi="ar-SA"/>
              </w:rPr>
              <w:t>1.208.046,28</w:t>
            </w:r>
          </w:p>
        </w:tc>
        <w:tc>
          <w:tcPr>
            <w:tcW w:w="2297"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2" w:hanging="0"/>
              <w:jc w:val="right"/>
              <w:rPr>
                <w:b/>
                <w:b/>
              </w:rPr>
            </w:pPr>
            <w:r>
              <w:rPr>
                <w:b/>
                <w:kern w:val="0"/>
                <w:sz w:val="22"/>
                <w:szCs w:val="22"/>
                <w:lang w:val="it-IT" w:bidi="ar-SA"/>
              </w:rPr>
              <w:t>1.284.941,00</w:t>
            </w:r>
          </w:p>
        </w:tc>
        <w:tc>
          <w:tcPr>
            <w:tcW w:w="1979"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2" w:hanging="0"/>
              <w:jc w:val="right"/>
              <w:rPr>
                <w:b/>
                <w:b/>
              </w:rPr>
            </w:pPr>
            <w:r>
              <w:rPr>
                <w:b/>
                <w:kern w:val="0"/>
                <w:sz w:val="22"/>
                <w:szCs w:val="22"/>
                <w:lang w:val="it-IT" w:bidi="ar-SA"/>
              </w:rPr>
              <w:t>76.894,72</w:t>
            </w:r>
          </w:p>
        </w:tc>
      </w:tr>
      <w:tr>
        <w:trPr>
          <w:trHeight w:val="305" w:hRule="atLeast"/>
        </w:trPr>
        <w:tc>
          <w:tcPr>
            <w:tcW w:w="9429"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left"/>
              <w:rPr>
                <w:kern w:val="0"/>
                <w:szCs w:val="22"/>
                <w:lang w:val="it-IT" w:bidi="ar-SA"/>
              </w:rPr>
            </w:pPr>
            <w:r>
              <w:rPr>
                <w:rFonts w:eastAsia="Times New Roman" w:cs="Times New Roman" w:ascii="Times New Roman" w:hAnsi="Times New Roman"/>
                <w:color w:val="000000"/>
                <w:kern w:val="0"/>
                <w:sz w:val="20"/>
                <w:szCs w:val="22"/>
                <w:lang w:val="it-IT" w:bidi="ar-SA"/>
              </w:rPr>
              <w:t>Spesa del personale lorda senza IRAP PREVISIONE ANNO 2026</w:t>
            </w:r>
          </w:p>
        </w:tc>
        <w:tc>
          <w:tcPr>
            <w:tcW w:w="1452"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right"/>
              <w:rPr>
                <w:b/>
                <w:b/>
              </w:rPr>
            </w:pPr>
            <w:r>
              <w:rPr>
                <w:b/>
                <w:kern w:val="0"/>
                <w:sz w:val="22"/>
                <w:szCs w:val="22"/>
                <w:lang w:val="it-IT" w:bidi="ar-SA"/>
              </w:rPr>
              <w:t xml:space="preserve">1.208.046,28 </w:t>
            </w:r>
          </w:p>
        </w:tc>
        <w:tc>
          <w:tcPr>
            <w:tcW w:w="2297"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2" w:hanging="0"/>
              <w:jc w:val="right"/>
              <w:rPr>
                <w:b/>
                <w:b/>
              </w:rPr>
            </w:pPr>
            <w:r>
              <w:rPr>
                <w:b/>
                <w:kern w:val="0"/>
                <w:sz w:val="22"/>
                <w:szCs w:val="22"/>
                <w:lang w:val="it-IT" w:bidi="ar-SA"/>
              </w:rPr>
              <w:t>1.284.941,00</w:t>
            </w:r>
          </w:p>
        </w:tc>
        <w:tc>
          <w:tcPr>
            <w:tcW w:w="1979"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2" w:hanging="0"/>
              <w:jc w:val="right"/>
              <w:rPr>
                <w:b/>
                <w:b/>
              </w:rPr>
            </w:pPr>
            <w:r>
              <w:rPr>
                <w:b/>
                <w:kern w:val="0"/>
                <w:sz w:val="22"/>
                <w:szCs w:val="22"/>
                <w:lang w:val="it-IT" w:bidi="ar-SA"/>
              </w:rPr>
              <w:t>76.894,72</w:t>
            </w:r>
          </w:p>
        </w:tc>
      </w:tr>
    </w:tbl>
    <w:p>
      <w:pPr>
        <w:pStyle w:val="Normal"/>
        <w:rPr/>
      </w:pPr>
      <w:r>
        <w:rPr/>
      </w:r>
    </w:p>
    <w:tbl>
      <w:tblPr>
        <w:tblStyle w:val="TableGrid"/>
        <w:tblpPr w:vertAnchor="text" w:horzAnchor="margin" w:leftFromText="141" w:rightFromText="141" w:tblpX="0" w:tblpY="-13"/>
        <w:tblW w:w="15158" w:type="dxa"/>
        <w:jc w:val="left"/>
        <w:tblInd w:w="-10" w:type="dxa"/>
        <w:tblLayout w:type="fixed"/>
        <w:tblCellMar>
          <w:top w:w="9" w:type="dxa"/>
          <w:left w:w="36" w:type="dxa"/>
          <w:bottom w:w="0" w:type="dxa"/>
          <w:right w:w="33" w:type="dxa"/>
        </w:tblCellMar>
        <w:tblLook w:firstRow="1" w:noVBand="1" w:lastRow="0" w:firstColumn="1" w:lastColumn="0" w:noHBand="0" w:val="04a0"/>
      </w:tblPr>
      <w:tblGrid>
        <w:gridCol w:w="2446"/>
        <w:gridCol w:w="2544"/>
        <w:gridCol w:w="3114"/>
        <w:gridCol w:w="1710"/>
        <w:gridCol w:w="643"/>
        <w:gridCol w:w="1452"/>
        <w:gridCol w:w="3248"/>
      </w:tblGrid>
      <w:tr>
        <w:trPr>
          <w:trHeight w:val="290" w:hRule="atLeast"/>
        </w:trPr>
        <w:tc>
          <w:tcPr>
            <w:tcW w:w="9814" w:type="dxa"/>
            <w:gridSpan w:val="4"/>
            <w:tcBorders>
              <w:top w:val="single" w:sz="8" w:space="0" w:color="000000"/>
              <w:left w:val="single" w:sz="8" w:space="0" w:color="000000"/>
              <w:bottom w:val="single" w:sz="4" w:space="0" w:color="000000"/>
              <w:right w:val="single" w:sz="4" w:space="0" w:color="000000"/>
            </w:tcBorders>
          </w:tcPr>
          <w:p>
            <w:pPr>
              <w:pStyle w:val="Normal"/>
              <w:widowControl/>
              <w:spacing w:lineRule="auto" w:line="259" w:before="0" w:after="2"/>
              <w:ind w:left="2" w:right="0" w:hanging="0"/>
              <w:jc w:val="left"/>
              <w:rPr>
                <w:kern w:val="0"/>
                <w:sz w:val="22"/>
                <w:szCs w:val="22"/>
                <w:lang w:val="it-IT" w:bidi="ar-SA"/>
              </w:rPr>
            </w:pPr>
            <w:r>
              <w:rPr>
                <w:rFonts w:eastAsia="Times New Roman" w:cs="Times New Roman" w:ascii="Times New Roman" w:hAnsi="Times New Roman"/>
                <w:b/>
                <w:color w:val="000000"/>
                <w:kern w:val="0"/>
                <w:sz w:val="22"/>
                <w:szCs w:val="22"/>
                <w:lang w:val="it-IT" w:bidi="ar-SA"/>
              </w:rPr>
              <w:t xml:space="preserve">STANZIAMENTI ENTRATE CORRENTI AL NETTO DELLE RISORSE </w:t>
            </w:r>
          </w:p>
          <w:p>
            <w:pPr>
              <w:pStyle w:val="Normal"/>
              <w:widowControl/>
              <w:spacing w:lineRule="auto" w:line="259" w:before="0" w:after="2"/>
              <w:ind w:left="2" w:right="0" w:hanging="0"/>
              <w:rPr>
                <w:kern w:val="0"/>
                <w:sz w:val="22"/>
                <w:szCs w:val="22"/>
                <w:lang w:val="it-IT" w:bidi="ar-SA"/>
              </w:rPr>
            </w:pPr>
            <w:r>
              <w:rPr>
                <w:rFonts w:eastAsia="Times New Roman" w:cs="Times New Roman" w:ascii="Times New Roman" w:hAnsi="Times New Roman"/>
                <w:b/>
                <w:color w:val="000000"/>
                <w:kern w:val="0"/>
                <w:sz w:val="22"/>
                <w:szCs w:val="22"/>
                <w:lang w:val="it-IT" w:bidi="ar-SA"/>
              </w:rPr>
              <w:t xml:space="preserve">PROVENIENTI DA ALTRI SOGGETTI PER NUOVE ASSUNZIONI (ART.57, COMMA </w:t>
            </w:r>
          </w:p>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2"/>
                <w:szCs w:val="22"/>
                <w:lang w:val="it-IT" w:bidi="ar-SA"/>
              </w:rPr>
              <w:t>3-SEPTIES, DL 104/2020 CONVERTITO DALLA LEGGE 126/2020)</w:t>
            </w:r>
          </w:p>
        </w:tc>
        <w:tc>
          <w:tcPr>
            <w:tcW w:w="643" w:type="dxa"/>
            <w:tcBorders/>
          </w:tcPr>
          <w:p>
            <w:pPr>
              <w:pStyle w:val="Normal"/>
              <w:widowControl/>
              <w:spacing w:before="0" w:after="0"/>
              <w:rPr>
                <w:kern w:val="0"/>
                <w:sz w:val="22"/>
                <w:szCs w:val="22"/>
                <w:lang w:val="it-IT" w:bidi="ar-SA"/>
              </w:rPr>
            </w:pPr>
            <w:r>
              <w:rPr>
                <w:kern w:val="0"/>
                <w:sz w:val="22"/>
                <w:szCs w:val="22"/>
                <w:lang w:val="it-IT" w:bidi="ar-SA"/>
              </w:rPr>
            </w:r>
          </w:p>
        </w:tc>
        <w:tc>
          <w:tcPr>
            <w:tcW w:w="1452" w:type="dxa"/>
            <w:tcBorders/>
          </w:tcPr>
          <w:p>
            <w:pPr>
              <w:pStyle w:val="Normal"/>
              <w:widowControl/>
              <w:spacing w:before="0" w:after="0"/>
              <w:rPr>
                <w:kern w:val="0"/>
                <w:sz w:val="22"/>
                <w:szCs w:val="22"/>
                <w:lang w:val="it-IT" w:bidi="ar-SA"/>
              </w:rPr>
            </w:pPr>
            <w:r>
              <w:rPr>
                <w:kern w:val="0"/>
                <w:sz w:val="22"/>
                <w:szCs w:val="22"/>
                <w:lang w:val="it-IT" w:bidi="ar-SA"/>
              </w:rPr>
            </w:r>
          </w:p>
        </w:tc>
        <w:tc>
          <w:tcPr>
            <w:tcW w:w="3248" w:type="dxa"/>
            <w:tcBorders/>
          </w:tcPr>
          <w:p>
            <w:pPr>
              <w:pStyle w:val="Normal"/>
              <w:widowControl/>
              <w:spacing w:before="0" w:after="0"/>
              <w:rPr>
                <w:kern w:val="0"/>
                <w:sz w:val="22"/>
                <w:szCs w:val="22"/>
                <w:lang w:val="it-IT" w:bidi="ar-SA"/>
              </w:rPr>
            </w:pPr>
            <w:r>
              <w:rPr>
                <w:kern w:val="0"/>
                <w:sz w:val="22"/>
                <w:szCs w:val="22"/>
                <w:lang w:val="it-IT" w:bidi="ar-SA"/>
              </w:rPr>
            </w:r>
          </w:p>
        </w:tc>
      </w:tr>
      <w:tr>
        <w:trPr>
          <w:trHeight w:val="535" w:hRule="atLeast"/>
        </w:trPr>
        <w:tc>
          <w:tcPr>
            <w:tcW w:w="2446" w:type="dxa"/>
            <w:tcBorders>
              <w:top w:val="single" w:sz="4" w:space="0" w:color="000000"/>
              <w:left w:val="single" w:sz="8" w:space="0" w:color="000000"/>
              <w:bottom w:val="single" w:sz="8"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ANNO</w:t>
            </w:r>
          </w:p>
        </w:tc>
        <w:tc>
          <w:tcPr>
            <w:tcW w:w="2544" w:type="dxa"/>
            <w:tcBorders>
              <w:top w:val="single" w:sz="4" w:space="0" w:color="000000"/>
              <w:left w:val="single" w:sz="4" w:space="0" w:color="000000"/>
              <w:bottom w:val="single" w:sz="8"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2"/>
                <w:szCs w:val="22"/>
                <w:lang w:val="it-IT" w:bidi="ar-SA"/>
              </w:rPr>
              <w:t>TOTALE NETTO</w:t>
            </w:r>
          </w:p>
        </w:tc>
        <w:tc>
          <w:tcPr>
            <w:tcW w:w="3114" w:type="dxa"/>
            <w:tcBorders>
              <w:top w:val="single" w:sz="4" w:space="0" w:color="000000"/>
              <w:left w:val="single" w:sz="4" w:space="0" w:color="000000"/>
              <w:bottom w:val="single" w:sz="8"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2"/>
                <w:szCs w:val="22"/>
                <w:lang w:val="it-IT" w:bidi="ar-SA"/>
              </w:rPr>
              <w:t>IMPORTI LORDI</w:t>
            </w:r>
          </w:p>
        </w:tc>
        <w:tc>
          <w:tcPr>
            <w:tcW w:w="2353" w:type="dxa"/>
            <w:gridSpan w:val="2"/>
            <w:tcBorders>
              <w:top w:val="single" w:sz="4" w:space="0" w:color="000000"/>
              <w:left w:val="single" w:sz="4" w:space="0" w:color="000000"/>
              <w:bottom w:val="single" w:sz="8" w:space="0" w:color="000000"/>
              <w:right w:val="single" w:sz="4" w:space="0" w:color="000000"/>
            </w:tcBorders>
          </w:tcPr>
          <w:p>
            <w:pPr>
              <w:pStyle w:val="Normal"/>
              <w:widowControl/>
              <w:spacing w:lineRule="auto" w:line="259" w:before="0" w:after="2"/>
              <w:ind w:left="2" w:right="0" w:hanging="0"/>
              <w:jc w:val="left"/>
              <w:rPr>
                <w:kern w:val="0"/>
                <w:sz w:val="22"/>
                <w:szCs w:val="22"/>
                <w:lang w:val="it-IT" w:bidi="ar-SA"/>
              </w:rPr>
            </w:pPr>
            <w:r>
              <w:rPr>
                <w:rFonts w:eastAsia="Times New Roman" w:cs="Times New Roman" w:ascii="Times New Roman" w:hAnsi="Times New Roman"/>
                <w:b/>
                <w:color w:val="000000"/>
                <w:kern w:val="0"/>
                <w:sz w:val="22"/>
                <w:szCs w:val="22"/>
                <w:lang w:val="it-IT" w:bidi="ar-SA"/>
              </w:rPr>
              <w:t xml:space="preserve">RISORSE ALTRI </w:t>
            </w:r>
          </w:p>
          <w:p>
            <w:pPr>
              <w:pStyle w:val="Normal"/>
              <w:widowControl/>
              <w:spacing w:lineRule="auto" w:line="259" w:before="0" w:after="2"/>
              <w:ind w:left="2" w:right="0" w:hanging="0"/>
              <w:jc w:val="left"/>
              <w:rPr>
                <w:kern w:val="0"/>
                <w:sz w:val="22"/>
                <w:szCs w:val="22"/>
                <w:lang w:val="it-IT" w:bidi="ar-SA"/>
              </w:rPr>
            </w:pPr>
            <w:r>
              <w:rPr>
                <w:rFonts w:eastAsia="Times New Roman" w:cs="Times New Roman" w:ascii="Times New Roman" w:hAnsi="Times New Roman"/>
                <w:b/>
                <w:color w:val="000000"/>
                <w:kern w:val="0"/>
                <w:sz w:val="22"/>
                <w:szCs w:val="22"/>
                <w:lang w:val="it-IT" w:bidi="ar-SA"/>
              </w:rPr>
              <w:t xml:space="preserve">ENTI(ASS.SOCIALI, </w:t>
            </w:r>
          </w:p>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2"/>
                <w:szCs w:val="22"/>
                <w:lang w:val="it-IT" w:bidi="ar-SA"/>
              </w:rPr>
              <w:t>PNRR)</w:t>
            </w:r>
          </w:p>
        </w:tc>
        <w:tc>
          <w:tcPr>
            <w:tcW w:w="1452" w:type="dxa"/>
            <w:tcBorders/>
          </w:tcPr>
          <w:p>
            <w:pPr>
              <w:pStyle w:val="Normal"/>
              <w:widowControl/>
              <w:spacing w:before="0" w:after="0"/>
              <w:rPr>
                <w:kern w:val="0"/>
                <w:sz w:val="22"/>
                <w:szCs w:val="22"/>
                <w:lang w:val="it-IT" w:bidi="ar-SA"/>
              </w:rPr>
            </w:pPr>
            <w:r>
              <w:rPr>
                <w:kern w:val="0"/>
                <w:sz w:val="22"/>
                <w:szCs w:val="22"/>
                <w:lang w:val="it-IT" w:bidi="ar-SA"/>
              </w:rPr>
            </w:r>
          </w:p>
        </w:tc>
        <w:tc>
          <w:tcPr>
            <w:tcW w:w="3248" w:type="dxa"/>
            <w:tcBorders/>
          </w:tcPr>
          <w:p>
            <w:pPr>
              <w:pStyle w:val="Normal"/>
              <w:widowControl/>
              <w:spacing w:before="0" w:after="0"/>
              <w:rPr>
                <w:kern w:val="0"/>
                <w:sz w:val="22"/>
                <w:szCs w:val="22"/>
                <w:lang w:val="it-IT" w:bidi="ar-SA"/>
              </w:rPr>
            </w:pPr>
            <w:r>
              <w:rPr>
                <w:kern w:val="0"/>
                <w:sz w:val="22"/>
                <w:szCs w:val="22"/>
                <w:lang w:val="it-IT" w:bidi="ar-SA"/>
              </w:rPr>
            </w:r>
          </w:p>
        </w:tc>
      </w:tr>
      <w:tr>
        <w:trPr>
          <w:trHeight w:val="525" w:hRule="atLeast"/>
        </w:trPr>
        <w:tc>
          <w:tcPr>
            <w:tcW w:w="2446" w:type="dxa"/>
            <w:tcBorders>
              <w:top w:val="single" w:sz="8" w:space="0" w:color="000000"/>
              <w:left w:val="single" w:sz="8"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2024</w:t>
            </w:r>
          </w:p>
        </w:tc>
        <w:tc>
          <w:tcPr>
            <w:tcW w:w="2544" w:type="dxa"/>
            <w:tcBorders>
              <w:top w:val="single" w:sz="8" w:space="0" w:color="000000"/>
              <w:left w:val="single" w:sz="4"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4.715.739,79</w:t>
            </w:r>
          </w:p>
        </w:tc>
        <w:tc>
          <w:tcPr>
            <w:tcW w:w="3114" w:type="dxa"/>
            <w:tcBorders>
              <w:top w:val="single" w:sz="8" w:space="0" w:color="000000"/>
              <w:left w:val="single" w:sz="4"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4.792.634,51</w:t>
            </w:r>
          </w:p>
        </w:tc>
        <w:tc>
          <w:tcPr>
            <w:tcW w:w="2353" w:type="dxa"/>
            <w:gridSpan w:val="2"/>
            <w:tcBorders>
              <w:top w:val="single" w:sz="8" w:space="0" w:color="000000"/>
              <w:left w:val="single" w:sz="4" w:space="0" w:color="000000"/>
              <w:right w:val="single" w:sz="4" w:space="0" w:color="000000"/>
            </w:tcBorders>
          </w:tcPr>
          <w:p>
            <w:pPr>
              <w:pStyle w:val="Normal"/>
              <w:widowControl/>
              <w:spacing w:lineRule="auto" w:line="259" w:before="0" w:after="0"/>
              <w:ind w:left="2"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76.894,72</w:t>
            </w:r>
          </w:p>
        </w:tc>
        <w:tc>
          <w:tcPr>
            <w:tcW w:w="1452" w:type="dxa"/>
            <w:tcBorders/>
          </w:tcPr>
          <w:p>
            <w:pPr>
              <w:pStyle w:val="Normal"/>
              <w:widowControl/>
              <w:spacing w:before="0" w:after="0"/>
              <w:rPr>
                <w:kern w:val="0"/>
                <w:sz w:val="22"/>
                <w:szCs w:val="22"/>
                <w:lang w:val="it-IT" w:bidi="ar-SA"/>
              </w:rPr>
            </w:pPr>
            <w:r>
              <w:rPr>
                <w:kern w:val="0"/>
                <w:sz w:val="22"/>
                <w:szCs w:val="22"/>
                <w:lang w:val="it-IT" w:bidi="ar-SA"/>
              </w:rPr>
            </w:r>
          </w:p>
        </w:tc>
        <w:tc>
          <w:tcPr>
            <w:tcW w:w="3248" w:type="dxa"/>
            <w:tcBorders/>
          </w:tcPr>
          <w:p>
            <w:pPr>
              <w:pStyle w:val="Normal"/>
              <w:widowControl/>
              <w:spacing w:before="0" w:after="0"/>
              <w:rPr>
                <w:kern w:val="0"/>
                <w:sz w:val="22"/>
                <w:szCs w:val="22"/>
                <w:lang w:val="it-IT" w:bidi="ar-SA"/>
              </w:rPr>
            </w:pPr>
            <w:r>
              <w:rPr>
                <w:kern w:val="0"/>
                <w:sz w:val="22"/>
                <w:szCs w:val="22"/>
                <w:lang w:val="it-IT" w:bidi="ar-SA"/>
              </w:rPr>
            </w:r>
          </w:p>
        </w:tc>
      </w:tr>
      <w:tr>
        <w:trPr>
          <w:trHeight w:val="290" w:hRule="atLeast"/>
        </w:trPr>
        <w:tc>
          <w:tcPr>
            <w:tcW w:w="2446" w:type="dxa"/>
            <w:tcBorders>
              <w:top w:val="single" w:sz="8" w:space="0" w:color="000000"/>
              <w:left w:val="single" w:sz="8" w:space="0" w:color="000000"/>
              <w:bottom w:val="single" w:sz="8"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2025</w:t>
            </w:r>
          </w:p>
        </w:tc>
        <w:tc>
          <w:tcPr>
            <w:tcW w:w="2544" w:type="dxa"/>
            <w:tcBorders>
              <w:top w:val="single" w:sz="8" w:space="0" w:color="000000"/>
              <w:left w:val="single" w:sz="4" w:space="0" w:color="000000"/>
              <w:bottom w:val="single" w:sz="8"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4.669.562,17</w:t>
            </w:r>
          </w:p>
        </w:tc>
        <w:tc>
          <w:tcPr>
            <w:tcW w:w="3114" w:type="dxa"/>
            <w:tcBorders>
              <w:top w:val="single" w:sz="8" w:space="0" w:color="000000"/>
              <w:left w:val="single" w:sz="4" w:space="0" w:color="000000"/>
              <w:bottom w:val="single" w:sz="8"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4.746.456,89</w:t>
            </w:r>
          </w:p>
        </w:tc>
        <w:tc>
          <w:tcPr>
            <w:tcW w:w="2353" w:type="dxa"/>
            <w:gridSpan w:val="2"/>
            <w:tcBorders>
              <w:top w:val="single" w:sz="8" w:space="0" w:color="000000"/>
              <w:left w:val="single" w:sz="4" w:space="0" w:color="000000"/>
              <w:bottom w:val="single" w:sz="8" w:space="0" w:color="000000"/>
              <w:right w:val="single" w:sz="4" w:space="0" w:color="000000"/>
            </w:tcBorders>
          </w:tcPr>
          <w:p>
            <w:pPr>
              <w:pStyle w:val="Normal"/>
              <w:widowControl/>
              <w:spacing w:lineRule="auto" w:line="259" w:before="0" w:after="0"/>
              <w:ind w:left="2"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76.894,72</w:t>
            </w:r>
          </w:p>
        </w:tc>
        <w:tc>
          <w:tcPr>
            <w:tcW w:w="4700" w:type="dxa"/>
            <w:gridSpan w:val="2"/>
            <w:vMerge w:val="restart"/>
            <w:tcBorders>
              <w:lef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r>
          </w:p>
        </w:tc>
      </w:tr>
      <w:tr>
        <w:trPr>
          <w:trHeight w:val="290" w:hRule="atLeast"/>
        </w:trPr>
        <w:tc>
          <w:tcPr>
            <w:tcW w:w="2446" w:type="dxa"/>
            <w:tcBorders>
              <w:top w:val="single" w:sz="8" w:space="0" w:color="000000"/>
              <w:left w:val="single" w:sz="8" w:space="0" w:color="000000"/>
              <w:bottom w:val="single" w:sz="8"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2026</w:t>
            </w:r>
          </w:p>
        </w:tc>
        <w:tc>
          <w:tcPr>
            <w:tcW w:w="2544" w:type="dxa"/>
            <w:tcBorders>
              <w:top w:val="single" w:sz="8" w:space="0" w:color="000000"/>
              <w:left w:val="single" w:sz="4" w:space="0" w:color="000000"/>
              <w:bottom w:val="single" w:sz="8"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4.669.562,17</w:t>
            </w:r>
          </w:p>
        </w:tc>
        <w:tc>
          <w:tcPr>
            <w:tcW w:w="3114" w:type="dxa"/>
            <w:tcBorders>
              <w:top w:val="single" w:sz="8" w:space="0" w:color="000000"/>
              <w:left w:val="single" w:sz="4" w:space="0" w:color="000000"/>
              <w:bottom w:val="single" w:sz="8"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4.746.456,89</w:t>
            </w:r>
          </w:p>
        </w:tc>
        <w:tc>
          <w:tcPr>
            <w:tcW w:w="2353" w:type="dxa"/>
            <w:gridSpan w:val="2"/>
            <w:tcBorders>
              <w:top w:val="single" w:sz="8" w:space="0" w:color="000000"/>
              <w:left w:val="single" w:sz="4" w:space="0" w:color="000000"/>
              <w:bottom w:val="single" w:sz="8" w:space="0" w:color="000000"/>
              <w:right w:val="single" w:sz="4" w:space="0" w:color="000000"/>
            </w:tcBorders>
          </w:tcPr>
          <w:p>
            <w:pPr>
              <w:pStyle w:val="Normal"/>
              <w:widowControl/>
              <w:spacing w:lineRule="auto" w:line="259" w:before="0" w:after="0"/>
              <w:ind w:left="2"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76.894,72</w:t>
            </w:r>
          </w:p>
        </w:tc>
        <w:tc>
          <w:tcPr>
            <w:tcW w:w="4700" w:type="dxa"/>
            <w:gridSpan w:val="2"/>
            <w:vMerge w:val="continue"/>
            <w:tcBorders>
              <w:lef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r>
          </w:p>
        </w:tc>
      </w:tr>
      <w:tr>
        <w:trPr>
          <w:trHeight w:val="290" w:hRule="atLeast"/>
        </w:trPr>
        <w:tc>
          <w:tcPr>
            <w:tcW w:w="10457" w:type="dxa"/>
            <w:gridSpan w:val="5"/>
            <w:tcBorders>
              <w:top w:val="single" w:sz="8" w:space="0" w:color="000000"/>
              <w:left w:val="single" w:sz="8" w:space="0" w:color="000000"/>
              <w:bottom w:val="single" w:sz="8" w:space="0" w:color="000000"/>
              <w:right w:val="single" w:sz="4" w:space="0" w:color="000000"/>
            </w:tcBorders>
          </w:tcPr>
          <w:p>
            <w:pPr>
              <w:pStyle w:val="Normal"/>
              <w:widowControl/>
              <w:spacing w:lineRule="auto" w:line="259" w:before="0" w:after="0"/>
              <w:ind w:right="0"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STANZIAMENTI FONDO CREDITI DI DUBBIA ESIGIBILITA'</w:t>
            </w:r>
          </w:p>
        </w:tc>
        <w:tc>
          <w:tcPr>
            <w:tcW w:w="1452"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59" w:before="0" w:after="0"/>
              <w:ind w:left="2" w:right="0" w:hanging="0"/>
              <w:jc w:val="center"/>
              <w:rPr>
                <w:kern w:val="0"/>
                <w:szCs w:val="22"/>
                <w:lang w:val="it-IT" w:bidi="ar-SA"/>
              </w:rPr>
            </w:pPr>
            <w:r>
              <w:rPr>
                <w:rFonts w:eastAsia="Times New Roman" w:cs="Times New Roman" w:ascii="Times New Roman" w:hAnsi="Times New Roman"/>
                <w:b/>
                <w:color w:val="000000"/>
                <w:kern w:val="0"/>
                <w:sz w:val="20"/>
                <w:szCs w:val="22"/>
                <w:lang w:val="it-IT" w:bidi="ar-SA"/>
              </w:rPr>
              <w:t>IMPORTI</w:t>
            </w:r>
          </w:p>
        </w:tc>
        <w:tc>
          <w:tcPr>
            <w:tcW w:w="3248" w:type="dxa"/>
            <w:tcBorders/>
          </w:tcPr>
          <w:p>
            <w:pPr>
              <w:pStyle w:val="Normal"/>
              <w:widowControl/>
              <w:spacing w:before="0" w:after="0"/>
              <w:rPr>
                <w:kern w:val="0"/>
                <w:sz w:val="22"/>
                <w:szCs w:val="22"/>
                <w:lang w:val="it-IT" w:bidi="ar-SA"/>
              </w:rPr>
            </w:pPr>
            <w:r>
              <w:rPr>
                <w:kern w:val="0"/>
                <w:sz w:val="22"/>
                <w:szCs w:val="22"/>
                <w:lang w:val="it-IT" w:bidi="ar-SA"/>
              </w:rPr>
            </w:r>
          </w:p>
        </w:tc>
      </w:tr>
      <w:tr>
        <w:trPr>
          <w:trHeight w:val="305" w:hRule="atLeast"/>
        </w:trPr>
        <w:tc>
          <w:tcPr>
            <w:tcW w:w="10457" w:type="dxa"/>
            <w:gridSpan w:val="5"/>
            <w:tcBorders>
              <w:top w:val="single" w:sz="8" w:space="0" w:color="000000"/>
              <w:left w:val="single" w:sz="8" w:space="0" w:color="000000"/>
              <w:bottom w:val="single" w:sz="8" w:space="0" w:color="000000"/>
              <w:right w:val="single" w:sz="4" w:space="0" w:color="000000"/>
            </w:tcBorders>
          </w:tcPr>
          <w:p>
            <w:pPr>
              <w:pStyle w:val="Normal"/>
              <w:widowControl/>
              <w:spacing w:lineRule="auto" w:line="259" w:before="0" w:after="0"/>
              <w:ind w:right="2"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FONDO CREDITI DI DUBBIA ESIGIBILITA' ANNO 2024</w:t>
            </w:r>
          </w:p>
        </w:tc>
        <w:tc>
          <w:tcPr>
            <w:tcW w:w="1452"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59" w:before="0" w:after="0"/>
              <w:ind w:right="3" w:hanging="0"/>
              <w:jc w:val="right"/>
              <w:rPr>
                <w:kern w:val="0"/>
                <w:sz w:val="22"/>
                <w:szCs w:val="22"/>
                <w:lang w:val="it-IT" w:bidi="ar-SA"/>
              </w:rPr>
            </w:pPr>
            <w:r>
              <w:rPr>
                <w:kern w:val="0"/>
                <w:sz w:val="22"/>
                <w:szCs w:val="22"/>
                <w:lang w:val="it-IT" w:bidi="ar-SA"/>
              </w:rPr>
              <w:t>421.573,38</w:t>
            </w:r>
          </w:p>
        </w:tc>
        <w:tc>
          <w:tcPr>
            <w:tcW w:w="3248" w:type="dxa"/>
            <w:tcBorders/>
          </w:tcPr>
          <w:p>
            <w:pPr>
              <w:pStyle w:val="Normal"/>
              <w:widowControl/>
              <w:spacing w:before="0" w:after="0"/>
              <w:rPr>
                <w:kern w:val="0"/>
                <w:sz w:val="22"/>
                <w:szCs w:val="22"/>
                <w:lang w:val="it-IT" w:bidi="ar-SA"/>
              </w:rPr>
            </w:pPr>
            <w:r>
              <w:rPr>
                <w:kern w:val="0"/>
                <w:sz w:val="22"/>
                <w:szCs w:val="22"/>
                <w:lang w:val="it-IT" w:bidi="ar-SA"/>
              </w:rPr>
            </w:r>
          </w:p>
        </w:tc>
      </w:tr>
      <w:tr>
        <w:trPr>
          <w:trHeight w:val="305" w:hRule="atLeast"/>
        </w:trPr>
        <w:tc>
          <w:tcPr>
            <w:tcW w:w="10457" w:type="dxa"/>
            <w:gridSpan w:val="5"/>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VALORE DELLE ENTRATE DECURTATE DAL FONDO CREDITI DI DUBBIA ESIGIBILITA'</w:t>
            </w:r>
          </w:p>
        </w:tc>
        <w:tc>
          <w:tcPr>
            <w:tcW w:w="1452" w:type="dxa"/>
            <w:tcBorders>
              <w:top w:val="single" w:sz="4" w:space="0" w:color="000000"/>
              <w:bottom w:val="single" w:sz="4" w:space="0" w:color="000000"/>
              <w:right w:val="single" w:sz="4" w:space="0" w:color="000000"/>
            </w:tcBorders>
          </w:tcPr>
          <w:p>
            <w:pPr>
              <w:pStyle w:val="Normal"/>
              <w:widowControl/>
              <w:spacing w:lineRule="auto" w:line="259" w:before="0" w:after="0"/>
              <w:ind w:right="3" w:hanging="0"/>
              <w:jc w:val="right"/>
              <w:rPr>
                <w:kern w:val="0"/>
                <w:sz w:val="22"/>
                <w:szCs w:val="22"/>
                <w:lang w:val="it-IT" w:bidi="ar-SA"/>
              </w:rPr>
            </w:pPr>
            <w:r>
              <w:rPr>
                <w:kern w:val="0"/>
                <w:sz w:val="22"/>
                <w:szCs w:val="22"/>
                <w:lang w:val="it-IT" w:bidi="ar-SA"/>
              </w:rPr>
              <w:t>4.294.166,41</w:t>
            </w:r>
          </w:p>
        </w:tc>
        <w:tc>
          <w:tcPr>
            <w:tcW w:w="3248" w:type="dxa"/>
            <w:tcBorders/>
          </w:tcPr>
          <w:p>
            <w:pPr>
              <w:pStyle w:val="Normal"/>
              <w:widowControl/>
              <w:spacing w:before="0" w:after="0"/>
              <w:rPr>
                <w:kern w:val="0"/>
                <w:sz w:val="22"/>
                <w:szCs w:val="22"/>
                <w:lang w:val="it-IT" w:bidi="ar-SA"/>
              </w:rPr>
            </w:pPr>
            <w:r>
              <w:rPr>
                <w:kern w:val="0"/>
                <w:sz w:val="22"/>
                <w:szCs w:val="22"/>
                <w:lang w:val="it-IT" w:bidi="ar-SA"/>
              </w:rPr>
            </w:r>
          </w:p>
        </w:tc>
      </w:tr>
      <w:tr>
        <w:trPr>
          <w:trHeight w:val="305" w:hRule="atLeast"/>
        </w:trPr>
        <w:tc>
          <w:tcPr>
            <w:tcW w:w="10457" w:type="dxa"/>
            <w:gridSpan w:val="5"/>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2"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FONDO CREDITI DI DUBBIA ESIGIBILITA' ANNO 2025</w:t>
            </w:r>
          </w:p>
        </w:tc>
        <w:tc>
          <w:tcPr>
            <w:tcW w:w="1452" w:type="dxa"/>
            <w:tcBorders>
              <w:top w:val="single" w:sz="4" w:space="0" w:color="000000"/>
              <w:bottom w:val="single" w:sz="4" w:space="0" w:color="000000"/>
              <w:right w:val="single" w:sz="4" w:space="0" w:color="000000"/>
            </w:tcBorders>
          </w:tcPr>
          <w:p>
            <w:pPr>
              <w:pStyle w:val="Normal"/>
              <w:widowControl/>
              <w:spacing w:lineRule="auto" w:line="259" w:before="0" w:after="0"/>
              <w:ind w:right="3" w:hanging="0"/>
              <w:jc w:val="right"/>
              <w:rPr>
                <w:kern w:val="0"/>
                <w:sz w:val="22"/>
                <w:szCs w:val="22"/>
                <w:lang w:val="it-IT" w:bidi="ar-SA"/>
              </w:rPr>
            </w:pPr>
            <w:r>
              <w:rPr>
                <w:kern w:val="0"/>
                <w:sz w:val="22"/>
                <w:szCs w:val="22"/>
                <w:lang w:val="it-IT" w:bidi="ar-SA"/>
              </w:rPr>
              <w:t>391.353,76</w:t>
            </w:r>
          </w:p>
        </w:tc>
        <w:tc>
          <w:tcPr>
            <w:tcW w:w="3248" w:type="dxa"/>
            <w:tcBorders/>
          </w:tcPr>
          <w:p>
            <w:pPr>
              <w:pStyle w:val="Normal"/>
              <w:widowControl/>
              <w:spacing w:before="0" w:after="0"/>
              <w:rPr>
                <w:kern w:val="0"/>
                <w:sz w:val="22"/>
                <w:szCs w:val="22"/>
                <w:lang w:val="it-IT" w:bidi="ar-SA"/>
              </w:rPr>
            </w:pPr>
            <w:r>
              <w:rPr>
                <w:kern w:val="0"/>
                <w:sz w:val="22"/>
                <w:szCs w:val="22"/>
                <w:lang w:val="it-IT" w:bidi="ar-SA"/>
              </w:rPr>
            </w:r>
          </w:p>
        </w:tc>
      </w:tr>
      <w:tr>
        <w:trPr>
          <w:trHeight w:val="305" w:hRule="atLeast"/>
        </w:trPr>
        <w:tc>
          <w:tcPr>
            <w:tcW w:w="10457" w:type="dxa"/>
            <w:gridSpan w:val="5"/>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VALORE DELLE ENTRATE DECURTATE DAL FONDO CREDITI DI DUBBIA ESIGIBILITA'</w:t>
            </w:r>
          </w:p>
        </w:tc>
        <w:tc>
          <w:tcPr>
            <w:tcW w:w="1452" w:type="dxa"/>
            <w:tcBorders>
              <w:top w:val="single" w:sz="4" w:space="0" w:color="000000"/>
              <w:bottom w:val="single" w:sz="4" w:space="0" w:color="000000"/>
              <w:right w:val="single" w:sz="4" w:space="0" w:color="000000"/>
            </w:tcBorders>
          </w:tcPr>
          <w:p>
            <w:pPr>
              <w:pStyle w:val="Normal"/>
              <w:widowControl/>
              <w:spacing w:lineRule="auto" w:line="259" w:before="0" w:after="0"/>
              <w:ind w:right="3" w:hanging="0"/>
              <w:jc w:val="right"/>
              <w:rPr>
                <w:kern w:val="0"/>
                <w:sz w:val="22"/>
                <w:szCs w:val="22"/>
                <w:lang w:val="it-IT" w:bidi="ar-SA"/>
              </w:rPr>
            </w:pPr>
            <w:r>
              <w:rPr>
                <w:kern w:val="0"/>
                <w:sz w:val="22"/>
                <w:szCs w:val="22"/>
                <w:lang w:val="it-IT" w:bidi="ar-SA"/>
              </w:rPr>
              <w:t>4.278.208,41</w:t>
            </w:r>
          </w:p>
        </w:tc>
        <w:tc>
          <w:tcPr>
            <w:tcW w:w="3248" w:type="dxa"/>
            <w:tcBorders/>
          </w:tcPr>
          <w:p>
            <w:pPr>
              <w:pStyle w:val="Normal"/>
              <w:widowControl/>
              <w:spacing w:before="0" w:after="0"/>
              <w:rPr>
                <w:kern w:val="0"/>
                <w:sz w:val="22"/>
                <w:szCs w:val="22"/>
                <w:lang w:val="it-IT" w:bidi="ar-SA"/>
              </w:rPr>
            </w:pPr>
            <w:r>
              <w:rPr>
                <w:kern w:val="0"/>
                <w:sz w:val="22"/>
                <w:szCs w:val="22"/>
                <w:lang w:val="it-IT" w:bidi="ar-SA"/>
              </w:rPr>
            </w:r>
          </w:p>
        </w:tc>
      </w:tr>
      <w:tr>
        <w:trPr>
          <w:trHeight w:val="305" w:hRule="atLeast"/>
        </w:trPr>
        <w:tc>
          <w:tcPr>
            <w:tcW w:w="10457" w:type="dxa"/>
            <w:gridSpan w:val="5"/>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2"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FONDO CREDITI DI DUBBIA ESIGIBILITA' ANNO 2026</w:t>
            </w:r>
          </w:p>
        </w:tc>
        <w:tc>
          <w:tcPr>
            <w:tcW w:w="1452" w:type="dxa"/>
            <w:tcBorders>
              <w:top w:val="single" w:sz="4" w:space="0" w:color="000000"/>
              <w:bottom w:val="single" w:sz="4" w:space="0" w:color="000000"/>
              <w:right w:val="single" w:sz="4" w:space="0" w:color="000000"/>
            </w:tcBorders>
          </w:tcPr>
          <w:p>
            <w:pPr>
              <w:pStyle w:val="Normal"/>
              <w:widowControl/>
              <w:spacing w:lineRule="auto" w:line="259" w:before="0" w:after="0"/>
              <w:ind w:right="3" w:hanging="0"/>
              <w:jc w:val="right"/>
              <w:rPr>
                <w:kern w:val="0"/>
                <w:sz w:val="22"/>
                <w:szCs w:val="22"/>
                <w:lang w:val="it-IT" w:bidi="ar-SA"/>
              </w:rPr>
            </w:pPr>
            <w:r>
              <w:rPr>
                <w:kern w:val="0"/>
                <w:sz w:val="22"/>
                <w:szCs w:val="22"/>
                <w:lang w:val="it-IT" w:bidi="ar-SA"/>
              </w:rPr>
              <w:t>391.353,76</w:t>
            </w:r>
          </w:p>
        </w:tc>
        <w:tc>
          <w:tcPr>
            <w:tcW w:w="3248" w:type="dxa"/>
            <w:tcBorders/>
          </w:tcPr>
          <w:p>
            <w:pPr>
              <w:pStyle w:val="Normal"/>
              <w:widowControl/>
              <w:spacing w:before="0" w:after="0"/>
              <w:rPr>
                <w:kern w:val="0"/>
                <w:sz w:val="22"/>
                <w:szCs w:val="22"/>
                <w:lang w:val="it-IT" w:bidi="ar-SA"/>
              </w:rPr>
            </w:pPr>
            <w:r>
              <w:rPr>
                <w:kern w:val="0"/>
                <w:sz w:val="22"/>
                <w:szCs w:val="22"/>
                <w:lang w:val="it-IT" w:bidi="ar-SA"/>
              </w:rPr>
            </w:r>
          </w:p>
        </w:tc>
      </w:tr>
      <w:tr>
        <w:trPr>
          <w:trHeight w:val="305" w:hRule="atLeast"/>
        </w:trPr>
        <w:tc>
          <w:tcPr>
            <w:tcW w:w="10457" w:type="dxa"/>
            <w:gridSpan w:val="5"/>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VALORE DELLE ENTRATE DECURTATE DAL FONDO CREDITI DI DUBBIA ESIGIBILITA'</w:t>
            </w:r>
          </w:p>
        </w:tc>
        <w:tc>
          <w:tcPr>
            <w:tcW w:w="1452" w:type="dxa"/>
            <w:tcBorders>
              <w:top w:val="single" w:sz="4" w:space="0" w:color="000000"/>
              <w:bottom w:val="single" w:sz="4" w:space="0" w:color="000000"/>
              <w:right w:val="single" w:sz="4" w:space="0" w:color="000000"/>
            </w:tcBorders>
          </w:tcPr>
          <w:p>
            <w:pPr>
              <w:pStyle w:val="Normal"/>
              <w:widowControl/>
              <w:spacing w:lineRule="auto" w:line="259" w:before="0" w:after="0"/>
              <w:ind w:right="3" w:hanging="0"/>
              <w:jc w:val="right"/>
              <w:rPr>
                <w:kern w:val="0"/>
                <w:sz w:val="22"/>
                <w:szCs w:val="22"/>
                <w:lang w:val="it-IT" w:bidi="ar-SA"/>
              </w:rPr>
            </w:pPr>
            <w:r>
              <w:rPr>
                <w:kern w:val="0"/>
                <w:sz w:val="22"/>
                <w:szCs w:val="22"/>
                <w:lang w:val="it-IT" w:bidi="ar-SA"/>
              </w:rPr>
              <w:t>4.278.208,41</w:t>
            </w:r>
          </w:p>
        </w:tc>
        <w:tc>
          <w:tcPr>
            <w:tcW w:w="3248" w:type="dxa"/>
            <w:tcBorders/>
          </w:tcPr>
          <w:p>
            <w:pPr>
              <w:pStyle w:val="Normal"/>
              <w:widowControl/>
              <w:spacing w:before="0" w:after="0"/>
              <w:rPr>
                <w:kern w:val="0"/>
                <w:sz w:val="22"/>
                <w:szCs w:val="22"/>
                <w:lang w:val="it-IT" w:bidi="ar-SA"/>
              </w:rPr>
            </w:pPr>
            <w:r>
              <w:rPr>
                <w:kern w:val="0"/>
                <w:sz w:val="22"/>
                <w:szCs w:val="22"/>
                <w:lang w:val="it-IT" w:bidi="ar-SA"/>
              </w:rPr>
            </w:r>
          </w:p>
        </w:tc>
      </w:tr>
    </w:tbl>
    <w:p>
      <w:pPr>
        <w:pStyle w:val="Normal"/>
        <w:rPr/>
      </w:pPr>
      <w:r>
        <w:rPr/>
      </w:r>
    </w:p>
    <w:tbl>
      <w:tblPr>
        <w:tblStyle w:val="TableGrid"/>
        <w:tblpPr w:vertAnchor="text" w:horzAnchor="margin" w:leftFromText="141" w:rightFromText="141" w:tblpX="0" w:tblpY="-13"/>
        <w:tblW w:w="15158" w:type="dxa"/>
        <w:jc w:val="left"/>
        <w:tblInd w:w="-10" w:type="dxa"/>
        <w:tblLayout w:type="fixed"/>
        <w:tblCellMar>
          <w:top w:w="9" w:type="dxa"/>
          <w:left w:w="36" w:type="dxa"/>
          <w:bottom w:w="0" w:type="dxa"/>
          <w:right w:w="33" w:type="dxa"/>
        </w:tblCellMar>
        <w:tblLook w:firstRow="1" w:noVBand="1" w:lastRow="0" w:firstColumn="1" w:lastColumn="0" w:noHBand="0" w:val="04a0"/>
      </w:tblPr>
      <w:tblGrid>
        <w:gridCol w:w="13138"/>
        <w:gridCol w:w="2019"/>
      </w:tblGrid>
      <w:tr>
        <w:trPr>
          <w:trHeight w:val="305" w:hRule="atLeast"/>
        </w:trPr>
        <w:tc>
          <w:tcPr>
            <w:tcW w:w="13138"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RAPPORTO PREVISTO SPESE DI PERSONALE SU ENTRATE CORRENTI ANNO 2024</w:t>
            </w:r>
          </w:p>
        </w:tc>
        <w:tc>
          <w:tcPr>
            <w:tcW w:w="2019"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2" w:hanging="0"/>
              <w:jc w:val="right"/>
              <w:rPr>
                <w:rFonts w:ascii="Times New Roman" w:hAnsi="Times New Roman" w:cs="Times New Roman"/>
                <w:b/>
                <w:b/>
              </w:rPr>
            </w:pPr>
            <w:r>
              <w:rPr>
                <w:rFonts w:cs="Times New Roman" w:ascii="Times New Roman" w:hAnsi="Times New Roman"/>
                <w:b/>
                <w:kern w:val="0"/>
                <w:sz w:val="22"/>
                <w:szCs w:val="22"/>
                <w:lang w:val="it-IT" w:bidi="ar-SA"/>
              </w:rPr>
              <w:t>30,60%</w:t>
            </w:r>
          </w:p>
        </w:tc>
      </w:tr>
      <w:tr>
        <w:trPr>
          <w:trHeight w:val="305" w:hRule="atLeast"/>
        </w:trPr>
        <w:tc>
          <w:tcPr>
            <w:tcW w:w="13138"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RAPPORTO PREVISTO SPESE DI PERSONALE SU ENTRATE CORRENTI ANNO 2025</w:t>
            </w:r>
          </w:p>
        </w:tc>
        <w:tc>
          <w:tcPr>
            <w:tcW w:w="2019"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2" w:hanging="0"/>
              <w:jc w:val="right"/>
              <w:rPr>
                <w:rFonts w:ascii="Times New Roman" w:hAnsi="Times New Roman" w:cs="Times New Roman"/>
                <w:b/>
                <w:b/>
              </w:rPr>
            </w:pPr>
            <w:r>
              <w:rPr>
                <w:rFonts w:cs="Times New Roman" w:ascii="Times New Roman" w:hAnsi="Times New Roman"/>
                <w:b/>
                <w:kern w:val="0"/>
                <w:sz w:val="22"/>
                <w:szCs w:val="22"/>
                <w:lang w:val="it-IT" w:bidi="ar-SA"/>
              </w:rPr>
              <w:t>28,23%</w:t>
            </w:r>
          </w:p>
        </w:tc>
      </w:tr>
      <w:tr>
        <w:trPr>
          <w:trHeight w:val="305" w:hRule="atLeast"/>
        </w:trPr>
        <w:tc>
          <w:tcPr>
            <w:tcW w:w="13138"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RAPPORTO PREVISTO SPESE DI PERSONALE SU ENTRATE CORRENTI ANNO 2026</w:t>
            </w:r>
          </w:p>
        </w:tc>
        <w:tc>
          <w:tcPr>
            <w:tcW w:w="2019"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2" w:hanging="0"/>
              <w:jc w:val="right"/>
              <w:rPr>
                <w:b/>
                <w:b/>
              </w:rPr>
            </w:pPr>
            <w:r>
              <w:rPr>
                <w:rFonts w:eastAsia="Times New Roman" w:cs="Times New Roman" w:ascii="Times New Roman" w:hAnsi="Times New Roman"/>
                <w:b/>
                <w:color w:val="000000"/>
                <w:kern w:val="0"/>
                <w:sz w:val="22"/>
                <w:szCs w:val="22"/>
                <w:lang w:val="it-IT" w:bidi="ar-SA"/>
              </w:rPr>
              <w:t>28,23</w:t>
            </w:r>
            <w:bookmarkStart w:id="0" w:name="Copia_di__GoBack_1"/>
            <w:bookmarkEnd w:id="0"/>
            <w:r>
              <w:rPr>
                <w:rFonts w:eastAsia="Times New Roman" w:cs="Times New Roman" w:ascii="Times New Roman" w:hAnsi="Times New Roman"/>
                <w:b/>
                <w:color w:val="000000"/>
                <w:kern w:val="0"/>
                <w:sz w:val="22"/>
                <w:szCs w:val="22"/>
                <w:lang w:val="it-IT" w:bidi="ar-SA"/>
              </w:rPr>
              <w:t>%</w:t>
            </w:r>
          </w:p>
        </w:tc>
      </w:tr>
    </w:tbl>
    <w:p>
      <w:pPr>
        <w:pStyle w:val="Normal"/>
        <w:rPr/>
      </w:pPr>
      <w:r>
        <w:rPr/>
      </w:r>
    </w:p>
    <w:p>
      <w:pPr>
        <w:pStyle w:val="Normal"/>
        <w:spacing w:lineRule="auto" w:line="259" w:before="0" w:after="16"/>
        <w:ind w:right="0" w:hanging="0"/>
        <w:jc w:val="left"/>
        <w:rPr/>
      </w:pPr>
      <w:r>
        <w:rPr>
          <w:color w:val="000000"/>
        </w:rPr>
        <w:t>Art. 57, c. 3-septies, D.L. n. 104/2020, convertito dalla L. 13/10/2020:</w:t>
      </w:r>
    </w:p>
    <w:p>
      <w:pPr>
        <w:pStyle w:val="Normal"/>
        <w:rPr/>
      </w:pPr>
      <w:r>
        <w:rPr/>
        <w:t>A decorrere dall'anno 2021 le spese di personale riferite alle assunzioni, effettuate in data successiva alla data di entrata in vigore della legge di conversione del presente decreto, finanziate integralmente da risorse provenienti da altri soggetti, espressamente finalizzate a nuove assunzioni e previste da apposita normativa, e le corrispondenti entrate correnti poste a copertura delle stesse non rilevano ai fini della verifica del rispetto del valore soglia di cui ai commi 1, 1-bis e 2 dell'articolo 33 del decreto-legge 30 aprile 2019, n. 34, convertito, con modificazioni, dalla legge 28 giugno 2019, n. 58, per il periodo in cui e' garantito il predetto finanziamento. In caso di finanziamento parziale, ai fini del predetto valore soglia non rilevano l'entrata e la spesa di personale per un importo corrispondente</w:t>
      </w:r>
    </w:p>
    <w:p>
      <w:pPr>
        <w:pStyle w:val="Normal"/>
        <w:rPr/>
      </w:pPr>
      <w:r>
        <w:rPr/>
      </w:r>
    </w:p>
    <w:sectPr>
      <w:type w:val="nextPage"/>
      <w:pgSz w:orient="landscape" w:w="16838" w:h="11906"/>
      <w:pgMar w:left="1056" w:right="2237" w:gutter="0" w:header="0" w:top="567" w:footer="0" w:bottom="1241"/>
      <w:pgNumType w:fmt="decimal"/>
      <w:formProt w:val="false"/>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98"/>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f5b66"/>
    <w:pPr>
      <w:widowControl/>
      <w:bidi w:val="0"/>
      <w:spacing w:lineRule="auto" w:line="283" w:before="0" w:after="0"/>
      <w:ind w:right="3615" w:hanging="0"/>
      <w:jc w:val="both"/>
    </w:pPr>
    <w:rPr>
      <w:rFonts w:ascii="Calibri" w:hAnsi="Calibri" w:eastAsia="Calibri" w:cs="Calibri"/>
      <w:color w:val="393939"/>
      <w:kern w:val="0"/>
      <w:sz w:val="22"/>
      <w:szCs w:val="22"/>
      <w:lang w:eastAsia="it-IT" w:val="it-IT" w:bidi="ar-SA"/>
    </w:rPr>
  </w:style>
  <w:style w:type="character" w:styleId="DefaultParagraphFont" w:default="1">
    <w:name w:val="Default Paragraph Font"/>
    <w:uiPriority w:val="1"/>
    <w:semiHidden/>
    <w:unhideWhenUsed/>
    <w:qFormat/>
    <w:rPr/>
  </w:style>
  <w:style w:type="character" w:styleId="TestofumettoCarattere" w:customStyle="1">
    <w:name w:val="Testo fumetto Carattere"/>
    <w:basedOn w:val="DefaultParagraphFont"/>
    <w:link w:val="BalloonText"/>
    <w:uiPriority w:val="99"/>
    <w:semiHidden/>
    <w:qFormat/>
    <w:rsid w:val="00725cd6"/>
    <w:rPr>
      <w:rFonts w:ascii="Segoe UI" w:hAnsi="Segoe UI" w:eastAsia="Calibri" w:cs="Segoe UI"/>
      <w:color w:val="393939"/>
      <w:sz w:val="18"/>
      <w:szCs w:val="18"/>
      <w:lang w:eastAsia="it-I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alloonText">
    <w:name w:val="Balloon Text"/>
    <w:basedOn w:val="Normal"/>
    <w:link w:val="TestofumettoCarattere"/>
    <w:uiPriority w:val="99"/>
    <w:semiHidden/>
    <w:unhideWhenUsed/>
    <w:qFormat/>
    <w:rsid w:val="00725cd6"/>
    <w:pPr>
      <w:spacing w:lineRule="auto" w:line="240"/>
    </w:pPr>
    <w:rPr>
      <w:rFonts w:ascii="Segoe UI" w:hAnsi="Segoe UI" w:cs="Segoe UI"/>
      <w:sz w:val="18"/>
      <w:szCs w:val="18"/>
    </w:rPr>
  </w:style>
  <w:style w:type="paragraph" w:styleId="Contenutocornice">
    <w:name w:val="Contenuto cornice"/>
    <w:basedOn w:val="Normal"/>
    <w:qFormat/>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Grid">
    <w:name w:val="TableGrid"/>
    <w:rsid w:val="004f5b66"/>
    <w:pPr>
      <w:spacing w:after="0" w:line="240" w:lineRule="auto"/>
    </w:pPr>
    <w:rPr>
      <w:rFonts w:eastAsiaTheme="minorEastAsia"/>
      <w:lang w:eastAsia="it-IT"/>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3DCC2-58E3-4123-AC4C-F1116FE60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Application>LibreOffice/7.4.7.2$Windows_X86_64 LibreOffice_project/723314e595e8007d3cf785c16538505a1c878ca5</Application>
  <AppVersion>15.0000</AppVersion>
  <Pages>2</Pages>
  <Words>363</Words>
  <Characters>2263</Characters>
  <CharactersWithSpaces>2730</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2023-09-06T15:00:00Z</dcterms:created>
  <dc:creator>UTENTE</dc:creator>
  <dc:description/>
  <dc:language>it-IT</dc:language>
  <cp:lastModifiedBy>UTENTE</cp:lastModifiedBy>
  <cp:lastPrinted>2023-09-07T10:53:00Z</cp:lastPrinted>
  <dcterms:modified xsi:type="dcterms:W3CDTF">2023-10-25T09:27:00Z</dcterms:modified>
  <cp:revision>37</cp:revision>
  <dc:subject/>
  <dc:title/>
</cp:coreProperties>
</file>

<file path=docProps/custom.xml><?xml version="1.0" encoding="utf-8"?>
<Properties xmlns="http://schemas.openxmlformats.org/officeDocument/2006/custom-properties" xmlns:vt="http://schemas.openxmlformats.org/officeDocument/2006/docPropsVTypes"/>
</file>