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displacedByCustomXml="next"/>
    <w:bookmarkEnd w:id="0" w:displacedByCustomXml="next"/>
    <w:sdt>
      <w:sdtPr>
        <w:rPr>
          <w:rFonts w:asciiTheme="majorHAnsi" w:eastAsiaTheme="majorEastAsia" w:hAnsiTheme="majorHAnsi" w:cstheme="majorBidi"/>
          <w:color w:val="auto"/>
          <w:sz w:val="72"/>
          <w:szCs w:val="72"/>
          <w:lang w:val="en-US" w:eastAsia="en-US"/>
        </w:rPr>
        <w:id w:val="1535439"/>
        <w:docPartObj>
          <w:docPartGallery w:val="Cover Pages"/>
          <w:docPartUnique/>
        </w:docPartObj>
      </w:sdtPr>
      <w:sdtEndPr>
        <w:rPr>
          <w:rFonts w:ascii="Times" w:eastAsiaTheme="minorHAnsi" w:hAnsi="Times" w:cs="Times"/>
          <w:b/>
          <w:sz w:val="24"/>
          <w:szCs w:val="24"/>
          <w:u w:val="single"/>
        </w:rPr>
      </w:sdtEndPr>
      <w:sdtContent>
        <w:p w:rsidR="002F5C5F" w:rsidRDefault="002F5C5F">
          <w:pPr>
            <w:pStyle w:val="Nessunaspaziatura"/>
            <w:rPr>
              <w:rFonts w:asciiTheme="majorHAnsi" w:eastAsiaTheme="majorEastAsia" w:hAnsiTheme="majorHAnsi" w:cstheme="majorBidi"/>
              <w:sz w:val="72"/>
              <w:szCs w:val="72"/>
            </w:rPr>
          </w:pPr>
        </w:p>
        <w:p w:rsidR="002F5C5F" w:rsidRDefault="002F5C5F">
          <w:pPr>
            <w:pStyle w:val="Nessunaspaziatura"/>
            <w:rPr>
              <w:rFonts w:asciiTheme="majorHAnsi" w:eastAsiaTheme="majorEastAsia" w:hAnsiTheme="majorHAnsi" w:cstheme="majorBidi"/>
              <w:sz w:val="72"/>
              <w:szCs w:val="72"/>
            </w:rPr>
          </w:pPr>
        </w:p>
        <w:p w:rsidR="002F5C5F" w:rsidRDefault="002F5C5F">
          <w:pPr>
            <w:pStyle w:val="Nessunaspaziatura"/>
            <w:rPr>
              <w:rFonts w:asciiTheme="majorHAnsi" w:eastAsiaTheme="majorEastAsia" w:hAnsiTheme="majorHAnsi" w:cstheme="majorBidi"/>
              <w:sz w:val="72"/>
              <w:szCs w:val="72"/>
            </w:rPr>
          </w:pPr>
        </w:p>
        <w:sdt>
          <w:sdtPr>
            <w:rPr>
              <w:sz w:val="36"/>
              <w:szCs w:val="36"/>
            </w:rPr>
            <w:alias w:val="Società"/>
            <w:id w:val="14700089"/>
            <w:dataBinding w:prefixMappings="xmlns:ns0='http://schemas.openxmlformats.org/officeDocument/2006/extended-properties'" w:xpath="/ns0:Properties[1]/ns0:Company[1]" w:storeItemID="{6668398D-A668-4E3E-A5EB-62B293D839F1}"/>
            <w:text/>
          </w:sdtPr>
          <w:sdtEndPr/>
          <w:sdtContent>
            <w:p w:rsidR="00E829A1" w:rsidRPr="00126F87" w:rsidRDefault="00E829A1" w:rsidP="00E829A1">
              <w:pPr>
                <w:pStyle w:val="Nessunaspaziatura"/>
                <w:jc w:val="center"/>
                <w:rPr>
                  <w:sz w:val="36"/>
                  <w:szCs w:val="36"/>
                </w:rPr>
              </w:pPr>
              <w:r w:rsidRPr="00126F87">
                <w:rPr>
                  <w:sz w:val="36"/>
                  <w:szCs w:val="36"/>
                </w:rPr>
                <w:t xml:space="preserve">Comune di </w:t>
              </w:r>
              <w:r w:rsidR="00775CB0">
                <w:rPr>
                  <w:sz w:val="36"/>
                  <w:szCs w:val="36"/>
                </w:rPr>
                <w:t>Assoro</w:t>
              </w:r>
            </w:p>
          </w:sdtContent>
        </w:sdt>
        <w:p w:rsidR="00E829A1" w:rsidRDefault="00E829A1">
          <w:pPr>
            <w:pStyle w:val="Nessunaspaziatura"/>
            <w:rPr>
              <w:rFonts w:asciiTheme="majorHAnsi" w:eastAsiaTheme="majorEastAsia" w:hAnsiTheme="majorHAnsi" w:cstheme="majorBidi"/>
              <w:sz w:val="72"/>
              <w:szCs w:val="72"/>
            </w:rPr>
          </w:pPr>
        </w:p>
        <w:p w:rsidR="00E829A1" w:rsidRDefault="00E829A1">
          <w:pPr>
            <w:pStyle w:val="Nessunaspaziatura"/>
            <w:rPr>
              <w:rFonts w:asciiTheme="majorHAnsi" w:eastAsiaTheme="majorEastAsia" w:hAnsiTheme="majorHAnsi" w:cstheme="majorBidi"/>
              <w:sz w:val="72"/>
              <w:szCs w:val="72"/>
            </w:rPr>
          </w:pPr>
        </w:p>
        <w:p w:rsidR="00A74505" w:rsidRDefault="00A74505">
          <w:pPr>
            <w:pStyle w:val="Nessunaspaziatura"/>
            <w:rPr>
              <w:rFonts w:asciiTheme="majorHAnsi" w:eastAsiaTheme="majorEastAsia" w:hAnsiTheme="majorHAnsi" w:cstheme="majorBidi"/>
              <w:sz w:val="72"/>
              <w:szCs w:val="72"/>
            </w:rPr>
          </w:pPr>
        </w:p>
        <w:p w:rsidR="003F2D30" w:rsidRDefault="003F2D30" w:rsidP="003F2D30">
          <w:pPr>
            <w:pStyle w:val="Nessunaspaziatura"/>
            <w:jc w:val="center"/>
            <w:rPr>
              <w:rFonts w:asciiTheme="majorHAnsi" w:eastAsiaTheme="majorEastAsia" w:hAnsiTheme="majorHAnsi" w:cstheme="majorBidi"/>
              <w:sz w:val="72"/>
              <w:szCs w:val="72"/>
            </w:rPr>
          </w:pPr>
        </w:p>
        <w:p w:rsidR="00126F87" w:rsidRDefault="007842A0" w:rsidP="003F2D30">
          <w:pPr>
            <w:pStyle w:val="Nessunaspaziatura"/>
            <w:jc w:val="center"/>
            <w:rPr>
              <w:rFonts w:asciiTheme="majorHAnsi" w:eastAsiaTheme="majorEastAsia" w:hAnsiTheme="majorHAnsi" w:cstheme="majorBidi"/>
              <w:sz w:val="72"/>
              <w:szCs w:val="72"/>
            </w:rPr>
          </w:pPr>
          <w:r>
            <w:rPr>
              <w:rFonts w:asciiTheme="minorHAnsi" w:eastAsiaTheme="majorEastAsia" w:hAnsiTheme="minorHAnsi" w:cstheme="majorBidi"/>
              <w:noProof/>
              <w:sz w:val="22"/>
              <w:szCs w:val="22"/>
            </w:rPr>
            <mc:AlternateContent>
              <mc:Choice Requires="wps">
                <w:drawing>
                  <wp:anchor distT="0" distB="0" distL="114300" distR="114300" simplePos="0" relativeHeight="251660288" behindDoc="0" locked="0" layoutInCell="0" allowOverlap="1">
                    <wp:simplePos x="0" y="0"/>
                    <wp:positionH relativeFrom="page">
                      <wp:align>center</wp:align>
                    </wp:positionH>
                    <wp:positionV relativeFrom="page">
                      <wp:align>bottom</wp:align>
                    </wp:positionV>
                    <wp:extent cx="7912735" cy="771525"/>
                    <wp:effectExtent l="10795" t="14605" r="10795" b="23495"/>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2735" cy="771525"/>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26CEA661" id="Rectangle 6" o:spid="_x0000_s1026" style="position:absolute;margin-left:0;margin-top:0;width:623.05pt;height:60.75pt;z-index:251660288;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" o:allowincell="f" fillcolor="#92cddc [1944]" strokecolor="#4bacc6 [3208]" strokeweight="1pt">
                    <v:fill color2="#4bacc6 [3208]" focus="50%" type="gradient"/>
                    <v:shadow on="t" color="#205867 [1608]" offset="1pt"/>
                    <w10:wrap anchorx="page" anchory="page"/>
                  </v:rect>
                </w:pict>
              </mc:Fallback>
            </mc:AlternateContent>
          </w:r>
          <w:r>
            <w:rPr>
              <w:rFonts w:asciiTheme="minorHAnsi" w:eastAsiaTheme="majorEastAsia" w:hAnsiTheme="minorHAnsi" w:cstheme="majorBidi"/>
              <w:noProof/>
              <w:sz w:val="22"/>
              <w:szCs w:val="22"/>
            </w:rPr>
            <mc:AlternateContent>
              <mc:Choice Requires="wps">
                <w:drawing>
                  <wp:anchor distT="0" distB="0" distL="114300" distR="114300" simplePos="0" relativeHeight="251663360" behindDoc="0" locked="0" layoutInCell="0" allowOverlap="1">
                    <wp:simplePos x="0" y="0"/>
                    <wp:positionH relativeFrom="leftMargin">
                      <wp:align>center</wp:align>
                    </wp:positionH>
                    <wp:positionV relativeFrom="page">
                      <wp:align>center</wp:align>
                    </wp:positionV>
                    <wp:extent cx="90805" cy="11203940"/>
                    <wp:effectExtent l="7620" t="8890" r="6350" b="7620"/>
                    <wp:wrapNone/>
                    <wp:docPr id="5"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394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CC0E8AD" id="Rectangle 9" o:spid="_x0000_s1026" style="position:absolute;margin-left:0;margin-top:0;width:7.15pt;height:882.2pt;z-index:251663360;visibility:visible;mso-wrap-style:square;mso-width-percent:0;mso-height-percent:1050;mso-wrap-distance-left:9pt;mso-wrap-distance-top:0;mso-wrap-distance-right:9pt;mso-wrap-distance-bottom:0;mso-position-horizontal:center;mso-position-horizontal-relative:lef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" o:allowincell="f" fillcolor="white [3212]" strokecolor="#31849b [2408]">
                    <w10:wrap anchorx="margin" anchory="page"/>
                  </v:rect>
                </w:pict>
              </mc:Fallback>
            </mc:AlternateContent>
          </w:r>
          <w:r>
            <w:rPr>
              <w:rFonts w:asciiTheme="minorHAnsi" w:eastAsiaTheme="majorEastAsia" w:hAnsiTheme="minorHAnsi" w:cstheme="majorBidi"/>
              <w:noProof/>
              <w:sz w:val="22"/>
              <w:szCs w:val="22"/>
            </w:rPr>
            <mc:AlternateContent>
              <mc:Choice Requires="wps">
                <w:drawing>
                  <wp:anchor distT="0" distB="0" distL="114300" distR="114300" simplePos="0" relativeHeight="251662336" behindDoc="0" locked="0" layoutInCell="0" allowOverlap="1">
                    <wp:simplePos x="0" y="0"/>
                    <wp:positionH relativeFrom="rightMargin">
                      <wp:align>center</wp:align>
                    </wp:positionH>
                    <wp:positionV relativeFrom="page">
                      <wp:align>center</wp:align>
                    </wp:positionV>
                    <wp:extent cx="90805" cy="11203940"/>
                    <wp:effectExtent l="8890" t="8890" r="5080" b="7620"/>
                    <wp:wrapNone/>
                    <wp:docPr id="4"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203940"/>
                            </a:xfrm>
                            <a:prstGeom prst="rect">
                              <a:avLst/>
                            </a:prstGeom>
                            <a:solidFill>
                              <a:schemeClr val="bg1">
                                <a:lumMod val="100000"/>
                                <a:lumOff val="0"/>
                              </a:schemeClr>
                            </a:solidFill>
                            <a:ln w="9525">
                              <a:solidFill>
                                <a:schemeClr val="accent5">
                                  <a:lumMod val="75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52C9E555" id="Rectangle 8" o:spid="_x0000_s1026" style="position:absolute;margin-left:0;margin-top:0;width:7.15pt;height:882.2pt;z-index:251662336;visibility:visible;mso-wrap-style:square;mso-width-percent:0;mso-height-percent:1050;mso-wrap-distance-left:9pt;mso-wrap-distance-top:0;mso-wrap-distance-right:9pt;mso-wrap-distance-bottom:0;mso-position-horizontal:center;mso-position-horizontal-relative:right-margin-area;mso-position-vertical:center;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" o:allowincell="f" fillcolor="white [3212]" strokecolor="#31849b [2408]">
                    <w10:wrap anchorx="margin" anchory="page"/>
                  </v:rect>
                </w:pict>
              </mc:Fallback>
            </mc:AlternateContent>
          </w:r>
          <w:r>
            <w:rPr>
              <w:rFonts w:asciiTheme="minorHAnsi" w:eastAsiaTheme="majorEastAsia" w:hAnsiTheme="minorHAnsi" w:cstheme="majorBidi"/>
              <w:noProof/>
              <w:sz w:val="22"/>
              <w:szCs w:val="22"/>
            </w:rPr>
            <mc:AlternateContent>
              <mc:Choice Requires="wps">
                <w:drawing>
                  <wp:anchor distT="0" distB="0" distL="114300" distR="114300" simplePos="0" relativeHeight="251661312" behindDoc="0" locked="0" layoutInCell="0" allowOverlap="1">
                    <wp:simplePos x="0" y="0"/>
                    <wp:positionH relativeFrom="page">
                      <wp:align>center</wp:align>
                    </wp:positionH>
                    <wp:positionV relativeFrom="topMargin">
                      <wp:align>top</wp:align>
                    </wp:positionV>
                    <wp:extent cx="7912735" cy="771525"/>
                    <wp:effectExtent l="10795" t="9525" r="10795" b="28575"/>
                    <wp:wrapNone/>
                    <wp:docPr id="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12735" cy="771525"/>
                            </a:xfrm>
                            <a:prstGeom prst="rect">
                              <a:avLst/>
                            </a:prstGeom>
                            <a:gradFill rotWithShape="0">
                              <a:gsLst>
                                <a:gs pos="0">
                                  <a:schemeClr val="accent5">
                                    <a:lumMod val="60000"/>
                                    <a:lumOff val="40000"/>
                                  </a:schemeClr>
                                </a:gs>
                                <a:gs pos="50000">
                                  <a:schemeClr val="accent5">
                                    <a:lumMod val="100000"/>
                                    <a:lumOff val="0"/>
                                  </a:schemeClr>
                                </a:gs>
                                <a:gs pos="100000">
                                  <a:schemeClr val="accent5">
                                    <a:lumMod val="60000"/>
                                    <a:lumOff val="40000"/>
                                  </a:schemeClr>
                                </a:gs>
                              </a:gsLst>
                              <a:lin ang="5400000" scaled="1"/>
                            </a:gradFill>
                            <a:ln w="12700">
                              <a:solidFill>
                                <a:schemeClr val="accent5">
                                  <a:lumMod val="100000"/>
                                  <a:lumOff val="0"/>
                                </a:schemeClr>
                              </a:solidFill>
                              <a:miter lim="800000"/>
                              <a:headEnd/>
                              <a:tailEnd/>
                            </a:ln>
                            <a:effectLst>
                              <a:outerShdw dist="28398" dir="3806097" algn="ctr" rotWithShape="0">
                                <a:schemeClr val="accent5">
                                  <a:lumMod val="50000"/>
                                  <a:lumOff val="0"/>
                                </a:schemeClr>
                              </a:outerShdw>
                            </a:effectLst>
                          </wps:spPr>
                          <wps:txbx>
                            <w:txbxContent>
                              <w:p w:rsid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p>
                              <w:p w:rsid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p>
                              <w:p w:rsidR="00343164" w:rsidRP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t xml:space="preserve">      Allegato 1</w:t>
                                </w:r>
                              </w:p>
                            </w:txbxContent>
                          </wps:txbx>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id="Rectangle 7" o:spid="_x0000_s1026" style="position:absolute;left:0;text-align:left;margin-left:0;margin-top:0;width:623.05pt;height:60.75pt;z-index:251661312;visibility:visible;mso-wrap-style:square;mso-width-percent:1050;mso-height-percent:900;mso-wrap-distance-left:9pt;mso-wrap-distance-top:0;mso-wrap-distance-right:9pt;mso-wrap-distance-bottom:0;mso-position-horizontal:center;mso-position-horizontal-relative:page;mso-position-vertical:top;mso-position-vertical-relative:top-margin-area;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" o:allowincell="f" fillcolor="#92cddc [1944]" strokecolor="#4bacc6 [3208]" strokeweight="1pt">
                    <v:fill color2="#4bacc6 [3208]" focus="50%" type="gradient"/>
                    <v:shadow on="t" color="#205867 [1608]" offset="1pt"/>
                    <v:textbox>
                      <w:txbxContent>
                        <w:p w:rsid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p>
                        <w:p w:rsid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p>
                        <w:p w:rsidR="00343164" w:rsidRPr="00343164" w:rsidRDefault="00343164">
                          <w:pPr>
                            <w:rPr>
                              <w:lang w:val="it-IT"/>
                            </w:rPr>
                          </w:pP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r>
                          <w:r>
                            <w:rPr>
                              <w:lang w:val="it-IT"/>
                            </w:rPr>
                            <w:tab/>
                            <w:t xml:space="preserve">      Allegato 1</w:t>
                          </w:r>
                        </w:p>
                      </w:txbxContent>
                    </v:textbox>
                    <w10:wrap anchorx="page" anchory="margin"/>
                  </v:rect>
                </w:pict>
              </mc:Fallback>
            </mc:AlternateContent>
          </w:r>
          <w:sdt>
            <w:sdtPr>
              <w:rPr>
                <w:rFonts w:ascii="Arial" w:eastAsia="PMingLiU" w:hAnsi="Arial" w:cs="Arial"/>
                <w:b/>
                <w:bCs/>
                <w:color w:val="auto"/>
                <w:kern w:val="28"/>
                <w:sz w:val="40"/>
                <w:szCs w:val="40"/>
                <w:lang w:eastAsia="en-US"/>
              </w:rPr>
              <w:alias w:val="Titolo"/>
              <w:id w:val="14700071"/>
              <w:dataBinding w:prefixMappings="xmlns:ns0='http://schemas.openxmlformats.org/package/2006/metadata/core-properties' xmlns:ns1='http://purl.org/dc/elements/1.1/'" w:xpath="/ns0:coreProperties[1]/ns1:title[1]" w:storeItemID="{6C3C8BC8-F283-45AE-878A-BAB7291924A1}"/>
              <w:text/>
            </w:sdtPr>
            <w:sdtEndPr/>
            <w:sdtContent>
              <w:r w:rsidR="008B6033">
                <w:rPr>
                  <w:rFonts w:ascii="Arial" w:eastAsia="PMingLiU" w:hAnsi="Arial" w:cs="Arial"/>
                  <w:b/>
                  <w:bCs/>
                  <w:color w:val="auto"/>
                  <w:kern w:val="28"/>
                  <w:sz w:val="40"/>
                  <w:szCs w:val="40"/>
                  <w:lang w:eastAsia="en-US"/>
                </w:rPr>
                <w:t>RELAZIONE SULLA REVISIONE STRAORDINARIA DELLE SOCIETÀ PARTECIPATE</w:t>
              </w:r>
            </w:sdtContent>
          </w:sdt>
        </w:p>
        <w:sdt>
          <w:sdtPr>
            <w:rPr>
              <w:rFonts w:ascii="Arial" w:hAnsi="Arial" w:cs="Arial"/>
              <w:b/>
              <w:bCs/>
              <w:kern w:val="28"/>
              <w:sz w:val="40"/>
              <w:szCs w:val="40"/>
            </w:rPr>
            <w:alias w:val="Sottotitolo"/>
            <w:id w:val="14700077"/>
            <w:dataBinding w:prefixMappings="xmlns:ns0='http://schemas.openxmlformats.org/package/2006/metadata/core-properties' xmlns:ns1='http://purl.org/dc/elements/1.1/'" w:xpath="/ns0:coreProperties[1]/ns1:subject[1]" w:storeItemID="{6C3C8BC8-F283-45AE-878A-BAB7291924A1}"/>
            <w:text/>
          </w:sdtPr>
          <w:sdtEndPr/>
          <w:sdtContent>
            <w:p w:rsidR="00126F87" w:rsidRDefault="00126F87" w:rsidP="003F2D30">
              <w:pPr>
                <w:pStyle w:val="Nessunaspaziatura"/>
                <w:jc w:val="center"/>
                <w:rPr>
                  <w:rFonts w:asciiTheme="majorHAnsi" w:eastAsiaTheme="majorEastAsia" w:hAnsiTheme="majorHAnsi" w:cstheme="majorBidi"/>
                  <w:sz w:val="36"/>
                  <w:szCs w:val="36"/>
                </w:rPr>
              </w:pPr>
              <w:r w:rsidRPr="00126F87">
                <w:rPr>
                  <w:rFonts w:ascii="Arial" w:hAnsi="Arial" w:cs="Arial"/>
                  <w:b/>
                  <w:bCs/>
                  <w:kern w:val="28"/>
                  <w:sz w:val="40"/>
                  <w:szCs w:val="40"/>
                </w:rPr>
                <w:t>(Art. 24 D.</w:t>
              </w:r>
              <w:r w:rsidR="008B6033">
                <w:rPr>
                  <w:rFonts w:ascii="Arial" w:hAnsi="Arial" w:cs="Arial"/>
                  <w:b/>
                  <w:bCs/>
                  <w:kern w:val="28"/>
                  <w:sz w:val="40"/>
                  <w:szCs w:val="40"/>
                </w:rPr>
                <w:t xml:space="preserve"> </w:t>
              </w:r>
              <w:r w:rsidRPr="00126F87">
                <w:rPr>
                  <w:rFonts w:ascii="Arial" w:hAnsi="Arial" w:cs="Arial"/>
                  <w:b/>
                  <w:bCs/>
                  <w:kern w:val="28"/>
                  <w:sz w:val="40"/>
                  <w:szCs w:val="40"/>
                </w:rPr>
                <w:t>Lgs. 175/2016)</w:t>
              </w:r>
            </w:p>
          </w:sdtContent>
        </w:sdt>
        <w:p w:rsidR="00126F87" w:rsidRDefault="00126F87">
          <w:pPr>
            <w:pStyle w:val="Nessunaspaziatura"/>
            <w:rPr>
              <w:rFonts w:asciiTheme="majorHAnsi" w:eastAsiaTheme="majorEastAsia" w:hAnsiTheme="majorHAnsi" w:cstheme="majorBidi"/>
              <w:sz w:val="36"/>
              <w:szCs w:val="36"/>
            </w:rPr>
          </w:pPr>
        </w:p>
        <w:p w:rsidR="00126F87" w:rsidRDefault="00126F87">
          <w:pPr>
            <w:pStyle w:val="Nessunaspaziatura"/>
            <w:rPr>
              <w:rFonts w:asciiTheme="majorHAnsi" w:eastAsiaTheme="majorEastAsia" w:hAnsiTheme="majorHAnsi" w:cstheme="majorBidi"/>
              <w:sz w:val="36"/>
              <w:szCs w:val="36"/>
            </w:rPr>
          </w:pPr>
        </w:p>
        <w:p w:rsidR="00126F87" w:rsidRDefault="00126F87">
          <w:pPr>
            <w:rPr>
              <w:lang w:val="it-IT"/>
            </w:rPr>
          </w:pPr>
        </w:p>
        <w:p w:rsidR="00126F87" w:rsidRDefault="00126F87">
          <w:pPr>
            <w:spacing w:after="200" w:line="276" w:lineRule="auto"/>
            <w:rPr>
              <w:rFonts w:ascii="Times" w:eastAsiaTheme="minorHAnsi" w:hAnsi="Times" w:cs="Times"/>
              <w:b/>
              <w:sz w:val="24"/>
              <w:szCs w:val="24"/>
              <w:u w:val="single"/>
              <w:lang w:val="it-IT"/>
            </w:rPr>
          </w:pPr>
          <w:r>
            <w:rPr>
              <w:rFonts w:ascii="Times" w:eastAsiaTheme="minorHAnsi" w:hAnsi="Times" w:cs="Times"/>
              <w:b/>
              <w:sz w:val="24"/>
              <w:szCs w:val="24"/>
              <w:u w:val="single"/>
              <w:lang w:val="it-IT"/>
            </w:rPr>
            <w:br w:type="page"/>
          </w:r>
        </w:p>
      </w:sdtContent>
    </w:sdt>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b/>
          <w:kern w:val="3"/>
          <w:sz w:val="24"/>
          <w:szCs w:val="24"/>
          <w:lang w:val="it-IT" w:bidi="en-US"/>
        </w:rPr>
      </w:pPr>
      <w:r w:rsidRPr="00AA32CC">
        <w:rPr>
          <w:rFonts w:ascii="Andalus" w:eastAsia="Lucida Sans Unicode" w:hAnsi="Andalus" w:cs="Andalus"/>
          <w:b/>
          <w:kern w:val="3"/>
          <w:sz w:val="24"/>
          <w:szCs w:val="24"/>
          <w:lang w:val="it-IT" w:bidi="en-US"/>
        </w:rPr>
        <w:lastRenderedPageBreak/>
        <w:t xml:space="preserve">Premessa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L’art. 24 contenuto nel </w:t>
      </w:r>
      <w:hyperlink r:id="rId8" w:tgtFrame="BT" w:history="1">
        <w:hyperlink r:id="rId9" w:tgtFrame="BT" w:history="1">
          <w:hyperlink r:id="rId10" w:tgtFrame="BT" w:history="1">
            <w:r w:rsidRPr="00AA32CC">
              <w:rPr>
                <w:rStyle w:val="Collegamentoipertestuale"/>
                <w:rFonts w:ascii="Andalus" w:eastAsia="Lucida Sans Unicode" w:hAnsi="Andalus" w:cs="Andalus"/>
                <w:color w:val="auto"/>
                <w:kern w:val="3"/>
                <w:sz w:val="24"/>
                <w:szCs w:val="24"/>
                <w:u w:val="none"/>
                <w:lang w:val="it-IT" w:bidi="en-US"/>
              </w:rPr>
              <w:t>D.Lgs. 175/2016</w:t>
            </w:r>
          </w:hyperlink>
        </w:hyperlink>
      </w:hyperlink>
      <w:r w:rsidRPr="00AA32CC">
        <w:rPr>
          <w:rFonts w:ascii="Andalus" w:eastAsia="Lucida Sans Unicode" w:hAnsi="Andalus" w:cs="Andalus"/>
          <w:kern w:val="3"/>
          <w:sz w:val="24"/>
          <w:szCs w:val="24"/>
          <w:lang w:val="it-IT" w:bidi="en-US"/>
        </w:rPr>
        <w:t xml:space="preserve"> “Testo unico in materia di società a partecipazione pubblica” (</w:t>
      </w:r>
      <w:hyperlink r:id="rId11" w:tgtFrame="BT" w:history="1">
        <w:r w:rsidRPr="00AA32CC">
          <w:rPr>
            <w:rStyle w:val="Collegamentoipertestuale"/>
            <w:rFonts w:ascii="Andalus" w:eastAsia="Lucida Sans Unicode" w:hAnsi="Andalus" w:cs="Andalus"/>
            <w:color w:val="auto"/>
            <w:kern w:val="3"/>
            <w:sz w:val="24"/>
            <w:szCs w:val="24"/>
            <w:u w:val="none"/>
            <w:lang w:val="it-IT" w:bidi="en-US"/>
          </w:rPr>
          <w:t>TUSP</w:t>
        </w:r>
      </w:hyperlink>
      <w:r w:rsidRPr="00AA32CC">
        <w:rPr>
          <w:rFonts w:ascii="Andalus" w:eastAsia="Lucida Sans Unicode" w:hAnsi="Andalus" w:cs="Andalus"/>
          <w:kern w:val="3"/>
          <w:sz w:val="24"/>
          <w:szCs w:val="24"/>
          <w:lang w:val="it-IT" w:bidi="en-US"/>
        </w:rPr>
        <w:t>)</w:t>
      </w:r>
      <w:r w:rsidR="00AA32CC">
        <w:rPr>
          <w:rFonts w:ascii="Andalus" w:eastAsia="Lucida Sans Unicode" w:hAnsi="Andalus" w:cs="Andalus"/>
          <w:kern w:val="3"/>
          <w:sz w:val="24"/>
          <w:szCs w:val="24"/>
          <w:lang w:val="it-IT" w:bidi="en-US"/>
        </w:rPr>
        <w:t>,</w:t>
      </w:r>
      <w:r w:rsidRPr="00AA32CC">
        <w:rPr>
          <w:rFonts w:ascii="Andalus" w:eastAsia="Lucida Sans Unicode" w:hAnsi="Andalus" w:cs="Andalus"/>
          <w:kern w:val="3"/>
          <w:sz w:val="24"/>
          <w:szCs w:val="24"/>
          <w:lang w:val="it-IT" w:bidi="en-US"/>
        </w:rPr>
        <w:t xml:space="preserve"> ripropone</w:t>
      </w:r>
      <w:r w:rsidR="00AA32CC">
        <w:rPr>
          <w:rFonts w:ascii="Andalus" w:eastAsia="Lucida Sans Unicode" w:hAnsi="Andalus" w:cs="Andalus"/>
          <w:kern w:val="3"/>
          <w:sz w:val="24"/>
          <w:szCs w:val="24"/>
          <w:lang w:val="it-IT" w:bidi="en-US"/>
        </w:rPr>
        <w:t>,</w:t>
      </w:r>
      <w:r w:rsidRPr="00AA32CC">
        <w:rPr>
          <w:rFonts w:ascii="Andalus" w:eastAsia="Lucida Sans Unicode" w:hAnsi="Andalus" w:cs="Andalus"/>
          <w:kern w:val="3"/>
          <w:sz w:val="24"/>
          <w:szCs w:val="24"/>
          <w:lang w:val="it-IT" w:bidi="en-US"/>
        </w:rPr>
        <w:t xml:space="preserve"> con una scadenza brevissima, nuovamente l’adempimento della «Revisione straordinaria delle partecipazioni» e richiede alle pubbliche amministrazioni di effettuare, entro il 30 settembre 2017, una analisi-ricognizione di tutte le partecipazioni possedute, direttamente o indirettamente, alla data di entrata in vigore del </w:t>
      </w:r>
      <w:hyperlink r:id="rId12" w:tgtFrame="BT" w:history="1">
        <w:r w:rsidRPr="00AA32CC">
          <w:rPr>
            <w:rStyle w:val="Collegamentoipertestuale"/>
            <w:rFonts w:ascii="Andalus" w:eastAsia="Lucida Sans Unicode" w:hAnsi="Andalus" w:cs="Andalus"/>
            <w:color w:val="auto"/>
            <w:kern w:val="3"/>
            <w:sz w:val="24"/>
            <w:szCs w:val="24"/>
            <w:u w:val="none"/>
            <w:lang w:val="it-IT" w:bidi="en-US"/>
          </w:rPr>
          <w:t>TUSP</w:t>
        </w:r>
      </w:hyperlink>
      <w:r w:rsidRPr="00AA32CC">
        <w:rPr>
          <w:rFonts w:ascii="Andalus" w:eastAsia="Lucida Sans Unicode" w:hAnsi="Andalus" w:cs="Andalus"/>
          <w:kern w:val="3"/>
          <w:sz w:val="24"/>
          <w:szCs w:val="24"/>
          <w:lang w:val="it-IT" w:bidi="en-US"/>
        </w:rPr>
        <w:t xml:space="preserve"> ossia al 23 settembre 2016. </w:t>
      </w:r>
    </w:p>
    <w:p w:rsidR="008E5854"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La presente relazione, </w:t>
      </w:r>
      <w:r w:rsidR="00AA32CC">
        <w:rPr>
          <w:rFonts w:ascii="Andalus" w:eastAsia="Lucida Sans Unicode" w:hAnsi="Andalus" w:cs="Andalus"/>
          <w:kern w:val="3"/>
          <w:sz w:val="24"/>
          <w:szCs w:val="24"/>
          <w:lang w:val="it-IT" w:bidi="en-US"/>
        </w:rPr>
        <w:t>s</w:t>
      </w:r>
      <w:r w:rsidRPr="00AA32CC">
        <w:rPr>
          <w:rFonts w:ascii="Andalus" w:eastAsia="Lucida Sans Unicode" w:hAnsi="Andalus" w:cs="Andalus"/>
          <w:kern w:val="3"/>
          <w:sz w:val="24"/>
          <w:szCs w:val="24"/>
          <w:lang w:val="it-IT" w:bidi="en-US"/>
        </w:rPr>
        <w:t>i propone di illustrare le modalità con cui le Amministrazioni dovranno effettuare l’adempimento richiesto dal legislatore, fornendo strumenti di lettura della attività ricognitiva posta in essere, di quella compilativa e di quella relativa alla predisposizione degli atti ed, infine, a quella di comunicazione delle risultanze finali ai soggetti che il legislatore ha individuato quali destinatari delle stesse.</w:t>
      </w:r>
    </w:p>
    <w:p w:rsidR="00AA32CC" w:rsidRPr="00AA32CC" w:rsidRDefault="00AA32CC"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b/>
          <w:color w:val="000000"/>
          <w:kern w:val="3"/>
          <w:sz w:val="24"/>
          <w:szCs w:val="24"/>
          <w:u w:val="single"/>
          <w:lang w:val="it-IT" w:bidi="en-US"/>
        </w:rPr>
      </w:pPr>
      <w:r w:rsidRPr="00AA32CC">
        <w:rPr>
          <w:rFonts w:ascii="Andalus" w:eastAsia="Calibri" w:hAnsi="Andalus" w:cs="Andalus"/>
          <w:b/>
          <w:color w:val="000000"/>
          <w:kern w:val="3"/>
          <w:sz w:val="24"/>
          <w:szCs w:val="24"/>
          <w:u w:val="single"/>
          <w:lang w:val="it-IT" w:bidi="en-US"/>
        </w:rPr>
        <w:t xml:space="preserve">La Norma di riferimento </w:t>
      </w:r>
    </w:p>
    <w:p w:rsidR="008E5854" w:rsidRPr="00AA32CC" w:rsidRDefault="00C97727" w:rsidP="00AA32CC">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C97727">
        <w:rPr>
          <w:rFonts w:ascii="Andalus" w:eastAsia="Calibri" w:hAnsi="Andalus" w:cs="Andalus"/>
          <w:color w:val="000000"/>
          <w:kern w:val="3"/>
          <w:sz w:val="24"/>
          <w:szCs w:val="24"/>
          <w:lang w:val="it-IT" w:bidi="en-US"/>
        </w:rPr>
        <w:t xml:space="preserve"> Prendendo spunto da norme approvate in modo estemporaneo, nel processo di riassetto delle </w:t>
      </w:r>
      <w:r w:rsidR="008E5854" w:rsidRPr="00C97727">
        <w:rPr>
          <w:rFonts w:ascii="Andalus" w:eastAsia="Calibri" w:hAnsi="Andalus" w:cs="Andalus"/>
          <w:color w:val="000000"/>
          <w:kern w:val="3"/>
          <w:sz w:val="24"/>
          <w:szCs w:val="24"/>
          <w:lang w:val="it-IT" w:bidi="en-US"/>
        </w:rPr>
        <w:t xml:space="preserve"> richiamate disposizioni relative alle società partecipate ad opera del Decreto Legislativo n.175/201</w:t>
      </w:r>
      <w:r w:rsidRPr="00C97727">
        <w:rPr>
          <w:rFonts w:ascii="Andalus" w:eastAsia="Calibri" w:hAnsi="Andalus" w:cs="Andalus"/>
          <w:color w:val="000000"/>
          <w:kern w:val="3"/>
          <w:sz w:val="24"/>
          <w:szCs w:val="24"/>
          <w:lang w:val="it-IT" w:bidi="en-US"/>
        </w:rPr>
        <w:t>,</w:t>
      </w:r>
      <w:r w:rsidR="008E5854" w:rsidRPr="00C97727">
        <w:rPr>
          <w:rFonts w:ascii="Andalus" w:eastAsia="Calibri" w:hAnsi="Andalus" w:cs="Andalus"/>
          <w:color w:val="000000"/>
          <w:kern w:val="3"/>
          <w:sz w:val="24"/>
          <w:szCs w:val="24"/>
          <w:lang w:val="it-IT" w:bidi="en-US"/>
        </w:rPr>
        <w:t>6 i piani di razionalizzazione</w:t>
      </w:r>
      <w:r w:rsidR="008E5854" w:rsidRPr="00AA32CC">
        <w:rPr>
          <w:rFonts w:ascii="Andalus" w:eastAsia="Calibri" w:hAnsi="Andalus" w:cs="Andalus"/>
          <w:color w:val="000000"/>
          <w:kern w:val="3"/>
          <w:sz w:val="24"/>
          <w:szCs w:val="24"/>
          <w:lang w:val="it-IT" w:bidi="en-US"/>
        </w:rPr>
        <w:t xml:space="preserve"> sono stati di nuovo riproposti e, ora, riguardano tutte le amministrazioni pubbliche al fine di evidenziare le seguenti situazioni: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societarie che non rientrino tra quelle “indispensabili” ai fini del perseguimento delle finalità istituzionali;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società che risultino prive di dipendenti o abbiano un numero di amministratori superiore a quello dei dipendenti;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in società che svolgono attività analoghe o similari a quelle svolte da altre società partecipate o da enti pubblici strumentali (le c.d. “società-doppione”);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in società che, nel triennio precedente, abbiano conseguito un fatturato medio non superiore a un milione di euro;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in società diverse da quelle costituite per la gestione di un servizio d’interesse generale che abbiano prodotto un risultato negativo per quattro dei cinque esercizi precedenti;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in società aventi necessità di contenimento dei costi di funzionamento; </w:t>
      </w:r>
    </w:p>
    <w:p w:rsidR="008E5854" w:rsidRPr="00AA32CC" w:rsidRDefault="008E5854" w:rsidP="00AA32CC">
      <w:pPr>
        <w:numPr>
          <w:ilvl w:val="0"/>
          <w:numId w:val="3"/>
        </w:numPr>
        <w:tabs>
          <w:tab w:val="left" w:pos="0"/>
        </w:tabs>
        <w:suppressAutoHyphens/>
        <w:autoSpaceDN w:val="0"/>
        <w:spacing w:after="120"/>
        <w:ind w:left="284" w:hanging="284"/>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 xml:space="preserve">partecipazioni in società che necessitano di essere aggregate aventi ad oggetto le attività consentite ai sensi dell’art. 4 (v. art. 20, co. 2). </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AA32CC">
        <w:rPr>
          <w:rFonts w:ascii="Andalus" w:eastAsia="Calibri" w:hAnsi="Andalus" w:cs="Andalus"/>
          <w:color w:val="000000"/>
          <w:kern w:val="3"/>
          <w:sz w:val="24"/>
          <w:szCs w:val="24"/>
          <w:lang w:val="it-IT" w:bidi="en-US"/>
        </w:rPr>
        <w:t xml:space="preserve">Altra novità sono rintracciabili nella previsione di due tipologie di revisioni: </w:t>
      </w:r>
    </w:p>
    <w:p w:rsidR="008E5854" w:rsidRPr="00AA32CC" w:rsidRDefault="008E5854" w:rsidP="00AA32CC">
      <w:pPr>
        <w:numPr>
          <w:ilvl w:val="0"/>
          <w:numId w:val="4"/>
        </w:numPr>
        <w:tabs>
          <w:tab w:val="left" w:pos="0"/>
        </w:tabs>
        <w:suppressAutoHyphens/>
        <w:autoSpaceDN w:val="0"/>
        <w:spacing w:after="120"/>
        <w:ind w:left="227" w:hanging="227"/>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una, periodica (art. 20 Dec.</w:t>
      </w:r>
      <w:r w:rsidR="008B6033">
        <w:rPr>
          <w:rFonts w:ascii="Andalus" w:eastAsia="Calibri" w:hAnsi="Andalus" w:cs="Andalus"/>
          <w:kern w:val="3"/>
          <w:sz w:val="24"/>
          <w:szCs w:val="24"/>
          <w:lang w:val="it-IT" w:bidi="en-US"/>
        </w:rPr>
        <w:t xml:space="preserve"> </w:t>
      </w:r>
      <w:r w:rsidRPr="00AA32CC">
        <w:rPr>
          <w:rFonts w:ascii="Andalus" w:eastAsia="Calibri" w:hAnsi="Andalus" w:cs="Andalus"/>
          <w:kern w:val="3"/>
          <w:sz w:val="24"/>
          <w:szCs w:val="24"/>
          <w:lang w:val="it-IT" w:bidi="en-US"/>
        </w:rPr>
        <w:t>Leg.vo 175/2016);</w:t>
      </w:r>
    </w:p>
    <w:p w:rsidR="008E5854" w:rsidRPr="00AA32CC" w:rsidRDefault="008E5854" w:rsidP="00AA32CC">
      <w:pPr>
        <w:numPr>
          <w:ilvl w:val="0"/>
          <w:numId w:val="4"/>
        </w:numPr>
        <w:tabs>
          <w:tab w:val="left" w:pos="0"/>
        </w:tabs>
        <w:suppressAutoHyphens/>
        <w:autoSpaceDN w:val="0"/>
        <w:spacing w:after="120"/>
        <w:ind w:left="227" w:hanging="227"/>
        <w:jc w:val="both"/>
        <w:textAlignment w:val="baseline"/>
        <w:rPr>
          <w:rFonts w:ascii="Andalus" w:eastAsia="Calibri" w:hAnsi="Andalus" w:cs="Andalus"/>
          <w:kern w:val="3"/>
          <w:sz w:val="24"/>
          <w:szCs w:val="24"/>
          <w:lang w:val="it-IT" w:bidi="en-US"/>
        </w:rPr>
      </w:pPr>
      <w:r w:rsidRPr="00AA32CC">
        <w:rPr>
          <w:rFonts w:ascii="Andalus" w:eastAsia="Calibri" w:hAnsi="Andalus" w:cs="Andalus"/>
          <w:kern w:val="3"/>
          <w:sz w:val="24"/>
          <w:szCs w:val="24"/>
          <w:lang w:val="it-IT" w:bidi="en-US"/>
        </w:rPr>
        <w:t>l’altra, straordinaria (art. 24 Dec.Leg.vo 175/2016).</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AA32CC">
        <w:rPr>
          <w:rFonts w:ascii="Andalus" w:eastAsia="Calibri" w:hAnsi="Andalus" w:cs="Andalus"/>
          <w:color w:val="000000"/>
          <w:kern w:val="3"/>
          <w:sz w:val="24"/>
          <w:szCs w:val="24"/>
          <w:lang w:val="it-IT" w:bidi="en-US"/>
        </w:rPr>
        <w:t xml:space="preserve">La prima costituisce una soluzione finora mai intrapresa, dal momento che il legislatore della legge di stabilità 2015, aveva previsto, per la predisposizione dei piani di razionalizzazione, un unico termine fisso (31 marzo 2015). Invece, all’art. 20 si prevede che le amministrazioni pubbliche effettuino, annualmente, l’analisi delle partecipazioni detenute e predispongano piani di razionalizzazione. </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kern w:val="3"/>
          <w:sz w:val="24"/>
          <w:szCs w:val="24"/>
          <w:lang w:val="it-IT" w:bidi="en-US"/>
        </w:rPr>
      </w:pPr>
      <w:r w:rsidRPr="00AA32CC">
        <w:rPr>
          <w:rFonts w:ascii="Andalus" w:eastAsia="Calibri" w:hAnsi="Andalus" w:cs="Andalus"/>
          <w:color w:val="000000"/>
          <w:kern w:val="3"/>
          <w:sz w:val="24"/>
          <w:szCs w:val="24"/>
          <w:lang w:val="it-IT" w:bidi="en-US"/>
        </w:rPr>
        <w:t>In aggiunta a questa, la revisione straordinaria prevede che, entro il 30 settembre 2017, ciascuna amministrazione presenti, con provvedimento motivato, la ricognizione delle partecipazioni possedute alla data dell’entrata in vigore del presente decreto, individuando quelle che devono essere alienate (</w:t>
      </w:r>
      <w:r w:rsidRPr="00AA32CC">
        <w:rPr>
          <w:rFonts w:ascii="Andalus" w:eastAsia="Calibri" w:hAnsi="Andalus" w:cs="Andalus"/>
          <w:kern w:val="3"/>
          <w:sz w:val="24"/>
          <w:szCs w:val="24"/>
          <w:lang w:val="it-IT" w:bidi="en-US"/>
        </w:rPr>
        <w:t>art. 24, Dec. Leg.vo 175/2016).</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b/>
          <w:color w:val="000000"/>
          <w:kern w:val="3"/>
          <w:sz w:val="24"/>
          <w:szCs w:val="24"/>
          <w:u w:val="single"/>
          <w:lang w:val="it-IT" w:bidi="en-US"/>
        </w:rPr>
      </w:pPr>
      <w:r w:rsidRPr="00AA32CC">
        <w:rPr>
          <w:rFonts w:ascii="Andalus" w:eastAsia="Lucida Sans Unicode" w:hAnsi="Andalus" w:cs="Andalus"/>
          <w:b/>
          <w:color w:val="000000"/>
          <w:kern w:val="3"/>
          <w:sz w:val="24"/>
          <w:szCs w:val="24"/>
          <w:u w:val="single"/>
          <w:lang w:val="it-IT" w:bidi="en-US"/>
        </w:rPr>
        <w:t>La revisione Straordinaria ai sensi dell’art.24  del  Decreto Leg</w:t>
      </w:r>
      <w:r w:rsidR="00487D65">
        <w:rPr>
          <w:rFonts w:ascii="Andalus" w:eastAsia="Lucida Sans Unicode" w:hAnsi="Andalus" w:cs="Andalus"/>
          <w:b/>
          <w:color w:val="000000"/>
          <w:kern w:val="3"/>
          <w:sz w:val="24"/>
          <w:szCs w:val="24"/>
          <w:u w:val="single"/>
          <w:lang w:val="it-IT" w:bidi="en-US"/>
        </w:rPr>
        <w:t>i</w:t>
      </w:r>
      <w:r w:rsidRPr="00AA32CC">
        <w:rPr>
          <w:rFonts w:ascii="Andalus" w:eastAsia="Lucida Sans Unicode" w:hAnsi="Andalus" w:cs="Andalus"/>
          <w:b/>
          <w:color w:val="000000"/>
          <w:kern w:val="3"/>
          <w:sz w:val="24"/>
          <w:szCs w:val="24"/>
          <w:u w:val="single"/>
          <w:lang w:val="it-IT" w:bidi="en-US"/>
        </w:rPr>
        <w:t>slativo 175/2016</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Nella presente relazione, di accompagnamento alla delibera di Consiglio, ci occuperemo della sola revisione straordinaria ai sensi dell’articolo 24 del Dec. Leg.vo 175/2016 e successive modifiche ed integrazioni rinviando la revisione ordinaria ex art. 20 dello stesso decreto ad un successivo atto da adottare ai sensi di legge entro il 31 dicembre.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Al fine di facilitare la lettura della presente relazione si riporta il contenuto dell’articolo 24 richiamato.</w:t>
      </w:r>
    </w:p>
    <w:p w:rsidR="008E5854" w:rsidRPr="00AA32CC" w:rsidRDefault="008E5854" w:rsidP="00AA32CC">
      <w:pPr>
        <w:pStyle w:val="NormaleWeb"/>
        <w:spacing w:before="0" w:beforeAutospacing="0" w:after="120" w:afterAutospacing="0"/>
        <w:rPr>
          <w:rFonts w:ascii="Andalus" w:hAnsi="Andalus" w:cs="Andalus"/>
          <w:color w:val="000000"/>
          <w:u w:val="single"/>
        </w:rPr>
      </w:pPr>
      <w:r w:rsidRPr="00AA32CC">
        <w:rPr>
          <w:rFonts w:ascii="Andalus" w:hAnsi="Andalus" w:cs="Andalus"/>
          <w:b/>
          <w:bCs/>
          <w:color w:val="000000"/>
          <w:u w:val="single"/>
        </w:rPr>
        <w:t>“ Art.</w:t>
      </w:r>
      <w:r w:rsidRPr="00AA32CC">
        <w:rPr>
          <w:rStyle w:val="apple-converted-space"/>
          <w:rFonts w:ascii="Andalus" w:hAnsi="Andalus" w:cs="Andalus"/>
          <w:b/>
          <w:bCs/>
          <w:color w:val="000000"/>
          <w:u w:val="single"/>
        </w:rPr>
        <w:t> </w:t>
      </w:r>
      <w:bookmarkStart w:id="1" w:name="24"/>
      <w:r w:rsidRPr="00AA32CC">
        <w:rPr>
          <w:rFonts w:ascii="Andalus" w:hAnsi="Andalus" w:cs="Andalus"/>
          <w:b/>
          <w:bCs/>
          <w:color w:val="000000"/>
          <w:u w:val="single"/>
        </w:rPr>
        <w:t>24</w:t>
      </w:r>
      <w:bookmarkEnd w:id="1"/>
      <w:r w:rsidRPr="00AA32CC">
        <w:rPr>
          <w:rFonts w:ascii="Andalus" w:hAnsi="Andalus" w:cs="Andalus"/>
          <w:b/>
          <w:bCs/>
          <w:color w:val="000000"/>
          <w:u w:val="single"/>
        </w:rPr>
        <w:t>. Revisione straordinaria delle partecipazioni “</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AA32CC">
        <w:rPr>
          <w:rFonts w:ascii="Andalus" w:hAnsi="Andalus" w:cs="Andalus"/>
          <w:i/>
          <w:sz w:val="24"/>
          <w:szCs w:val="24"/>
        </w:rPr>
        <w:t>Le partecipazioni detenute, direttamente o indirettamente, dalle amministrazioni pubbliche alla data di entrata in vigore del presente decreto in società non riconducibili ad alcuna delle categorie di cui all'</w:t>
      </w:r>
      <w:hyperlink r:id="rId13" w:anchor="04" w:history="1">
        <w:r w:rsidRPr="00AA32CC">
          <w:rPr>
            <w:rStyle w:val="Collegamentoipertestuale"/>
            <w:rFonts w:ascii="Andalus" w:hAnsi="Andalus" w:cs="Andalus"/>
            <w:i/>
            <w:color w:val="auto"/>
            <w:sz w:val="24"/>
            <w:szCs w:val="24"/>
            <w:u w:val="none"/>
          </w:rPr>
          <w:t>articolo 4</w:t>
        </w:r>
      </w:hyperlink>
      <w:r w:rsidRPr="00AA32CC">
        <w:rPr>
          <w:rFonts w:ascii="Andalus" w:hAnsi="Andalus" w:cs="Andalus"/>
          <w:i/>
          <w:sz w:val="24"/>
          <w:szCs w:val="24"/>
        </w:rPr>
        <w:t>, ovvero che non soddisfano i requisiti di cui all'articolo 5, commi 1 e 2, o che ricadono in una delle ipotesi di cui all'articolo 20, comma 2, sono alienate o sono oggetto delle misure di cui all'</w:t>
      </w:r>
      <w:hyperlink r:id="rId14" w:anchor="20" w:history="1">
        <w:r w:rsidRPr="00AA32CC">
          <w:rPr>
            <w:rStyle w:val="Collegamentoipertestuale"/>
            <w:rFonts w:ascii="Andalus" w:hAnsi="Andalus" w:cs="Andalus"/>
            <w:i/>
            <w:color w:val="auto"/>
            <w:sz w:val="24"/>
            <w:szCs w:val="24"/>
            <w:u w:val="none"/>
          </w:rPr>
          <w:t>articolo 20, commi 1 e 2</w:t>
        </w:r>
      </w:hyperlink>
      <w:r w:rsidRPr="00AA32CC">
        <w:rPr>
          <w:rFonts w:ascii="Andalus" w:hAnsi="Andalus" w:cs="Andalus"/>
          <w:i/>
          <w:sz w:val="24"/>
          <w:szCs w:val="24"/>
        </w:rPr>
        <w:t>. A tal fine, entro il 30 settembre 2017, ciascuna amministrazione pubblica effettua con provvedimento motivato la ricognizione di tutte le partecipazioni possedute alla data di entrata in vigore del presente decreto, individuando quelle che devono essere alienate. L'esito della ricognizione, anche in caso negativo, è comunicato con le modalità di cui all'</w:t>
      </w:r>
      <w:hyperlink r:id="rId15" w:anchor="17" w:history="1">
        <w:r w:rsidRPr="00AA32CC">
          <w:rPr>
            <w:rStyle w:val="Collegamentoipertestuale"/>
            <w:rFonts w:ascii="Andalus" w:hAnsi="Andalus" w:cs="Andalus"/>
            <w:i/>
            <w:color w:val="auto"/>
            <w:sz w:val="24"/>
            <w:szCs w:val="24"/>
            <w:u w:val="none"/>
          </w:rPr>
          <w:t>articolo 17 del decreto-legge n. 90 del 2014, convertito, con modificazioni, dalla legge 11 agosto 2014, n. 114</w:t>
        </w:r>
      </w:hyperlink>
      <w:r w:rsidRPr="00AA32CC">
        <w:rPr>
          <w:rFonts w:ascii="Andalus" w:hAnsi="Andalus" w:cs="Andalus"/>
          <w:i/>
          <w:sz w:val="24"/>
          <w:szCs w:val="24"/>
        </w:rPr>
        <w:t>. Le informazioni sono rese disponibili alla sezione della Corte dei conti competente ai sensi dell'articolo 5, comma 4, e alla struttura di cui all'articolo 15.</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Per le amministrazioni di cui all'</w:t>
      </w:r>
      <w:hyperlink r:id="rId16" w:anchor="1.600" w:history="1">
        <w:r w:rsidRPr="00041975">
          <w:rPr>
            <w:rStyle w:val="Collegamentoipertestuale"/>
            <w:rFonts w:ascii="Andalus" w:hAnsi="Andalus" w:cs="Andalus"/>
            <w:i/>
            <w:color w:val="auto"/>
            <w:sz w:val="24"/>
            <w:szCs w:val="24"/>
            <w:u w:val="none"/>
          </w:rPr>
          <w:t>articolo 1, comma 611, della legge 23 dicembre 2014, n. 190</w:t>
        </w:r>
      </w:hyperlink>
      <w:r w:rsidRPr="00041975">
        <w:rPr>
          <w:rFonts w:ascii="Andalus" w:hAnsi="Andalus" w:cs="Andalus"/>
          <w:i/>
          <w:sz w:val="24"/>
          <w:szCs w:val="24"/>
        </w:rPr>
        <w:t>, il provvedimento di cui al comma 1 costituisce aggiornamento del piano operativo di razionalizzazione adottato ai sensi del comma 612 dello stesso articolo, fermi restando i termini ivi previsti.</w:t>
      </w:r>
    </w:p>
    <w:p w:rsidR="008E5854" w:rsidRPr="00041975"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Il provvedimento di ricognizione è inviato alla sezione della Corte dei conti competente ai sensi dell'articolo 5, comma 4, nonché alla struttura di cui all'articolo 15, perché verifichi il puntuale adempimento degli obblighi di cui al presente articolo(</w:t>
      </w:r>
      <w:r w:rsidRPr="00041975">
        <w:rPr>
          <w:rFonts w:ascii="Andalus" w:hAnsi="Andalus" w:cs="Andalus"/>
          <w:i/>
          <w:iCs/>
          <w:sz w:val="24"/>
          <w:szCs w:val="24"/>
        </w:rPr>
        <w:t>(in vigore dal 1° ottobre 2017)</w:t>
      </w:r>
      <w:r w:rsidR="00041975">
        <w:rPr>
          <w:rFonts w:ascii="Andalus" w:hAnsi="Andalus" w:cs="Andalus"/>
          <w:i/>
          <w:iCs/>
          <w:sz w:val="24"/>
          <w:szCs w:val="24"/>
        </w:rPr>
        <w:t>.</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L'alienazione, da effettuare ai sensi dell'articolo 10, avviene entro un anno dalla conclusione della ricognizione di cui al comma 1.</w:t>
      </w:r>
    </w:p>
    <w:p w:rsidR="008E5854" w:rsidRPr="00041975"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In caso di mancata adozione dell'atto ricognitivo ovvero di mancata alienazione entro i termini previsti dal comma 4, il socio pubblico non può esercitare i diritti sociali nei confronti della società e, salvo in ogni caso il potere di alienare la partecipazione, la medesima è liquidata in denaro in base ai criteri stabiliti all'</w:t>
      </w:r>
      <w:hyperlink r:id="rId17" w:anchor="2437" w:history="1">
        <w:r w:rsidRPr="00041975">
          <w:rPr>
            <w:rStyle w:val="Collegamentoipertestuale"/>
            <w:rFonts w:ascii="Andalus" w:hAnsi="Andalus" w:cs="Andalus"/>
            <w:i/>
            <w:color w:val="auto"/>
            <w:sz w:val="24"/>
            <w:szCs w:val="24"/>
            <w:u w:val="none"/>
          </w:rPr>
          <w:t>articolo 2437-ter, secondo comma, e seguendo il procedimento di cui all'articolo 2437-quater del codice civile</w:t>
        </w:r>
      </w:hyperlink>
      <w:r w:rsidRPr="00041975">
        <w:rPr>
          <w:rFonts w:ascii="Andalus" w:hAnsi="Andalus" w:cs="Andalus"/>
          <w:i/>
          <w:sz w:val="24"/>
          <w:szCs w:val="24"/>
        </w:rPr>
        <w:t>.</w:t>
      </w:r>
      <w:r w:rsidRPr="00041975">
        <w:rPr>
          <w:rStyle w:val="apple-converted-space"/>
          <w:rFonts w:ascii="Andalus" w:hAnsi="Andalus" w:cs="Andalus"/>
          <w:i/>
          <w:color w:val="auto"/>
          <w:sz w:val="24"/>
          <w:szCs w:val="24"/>
        </w:rPr>
        <w:t> </w:t>
      </w:r>
      <w:r w:rsidRPr="00041975">
        <w:rPr>
          <w:rFonts w:ascii="Andalus" w:hAnsi="Andalus" w:cs="Andalus"/>
          <w:i/>
          <w:iCs/>
          <w:sz w:val="24"/>
          <w:szCs w:val="24"/>
        </w:rPr>
        <w:t>(in vigore dal 1° ottobre 2017)</w:t>
      </w:r>
      <w:r w:rsidR="00041975">
        <w:rPr>
          <w:rFonts w:ascii="Andalus" w:hAnsi="Andalus" w:cs="Andalus"/>
          <w:i/>
          <w:iCs/>
          <w:sz w:val="24"/>
          <w:szCs w:val="24"/>
        </w:rPr>
        <w:t>.</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Nei casi di cui al sesto e al settimo comma dell'articolo 2437-quater del codice civile ovvero in caso di estinzione della partecipazione in una società unipersonale, la società è posta in liquidazione.</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Gli obblighi di alienazione di cui al comma 1 valgono anche nel caso di partecipazioni societarie acquistate in conformità ad espresse previsioni normative, statali o regionali.</w:t>
      </w:r>
    </w:p>
    <w:p w:rsidR="008E5854"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Per l'attuazione dei provvedimenti di cui al comma 1, si applica l'</w:t>
      </w:r>
      <w:hyperlink r:id="rId18" w:anchor="1.600" w:history="1">
        <w:r w:rsidRPr="00041975">
          <w:rPr>
            <w:rStyle w:val="Collegamentoipertestuale"/>
            <w:rFonts w:ascii="Andalus" w:hAnsi="Andalus" w:cs="Andalus"/>
            <w:i/>
            <w:color w:val="auto"/>
            <w:sz w:val="24"/>
            <w:szCs w:val="24"/>
            <w:u w:val="none"/>
          </w:rPr>
          <w:t>articolo 1, commi 613 e 614, della legge n. 190 del 2014</w:t>
        </w:r>
      </w:hyperlink>
      <w:r w:rsidRPr="00041975">
        <w:rPr>
          <w:rFonts w:ascii="Andalus" w:hAnsi="Andalus" w:cs="Andalus"/>
          <w:i/>
          <w:sz w:val="24"/>
          <w:szCs w:val="24"/>
        </w:rPr>
        <w:t>.</w:t>
      </w:r>
    </w:p>
    <w:p w:rsidR="008E5854" w:rsidRPr="00041975" w:rsidRDefault="008E5854" w:rsidP="00041975">
      <w:pPr>
        <w:pStyle w:val="Nessunaspaziatura"/>
        <w:numPr>
          <w:ilvl w:val="0"/>
          <w:numId w:val="10"/>
        </w:numPr>
        <w:spacing w:after="120"/>
        <w:ind w:left="426"/>
        <w:jc w:val="both"/>
        <w:rPr>
          <w:rFonts w:ascii="Andalus" w:hAnsi="Andalus" w:cs="Andalus"/>
          <w:i/>
          <w:sz w:val="24"/>
          <w:szCs w:val="24"/>
        </w:rPr>
      </w:pPr>
      <w:r w:rsidRPr="00041975">
        <w:rPr>
          <w:rFonts w:ascii="Andalus" w:hAnsi="Andalus" w:cs="Andalus"/>
          <w:i/>
          <w:sz w:val="24"/>
          <w:szCs w:val="24"/>
        </w:rPr>
        <w:t xml:space="preserve">All'esclusivo fine di favorire i processi di cui al presente articolo, in occasione della prima </w:t>
      </w:r>
      <w:r w:rsidRPr="00041975">
        <w:rPr>
          <w:rFonts w:ascii="Andalus" w:hAnsi="Andalus" w:cs="Andalus"/>
          <w:i/>
          <w:sz w:val="24"/>
          <w:szCs w:val="24"/>
        </w:rPr>
        <w:lastRenderedPageBreak/>
        <w:t>gara successiva alla cessazione dell'affidamento in favore della società a controllo pubblico interessata da tali processi, il rapporto di lavoro del personale già impiegato nell'appalto o nella concessione continua con il subentrante nell'appalto o nella concessione ai sensi dell'</w:t>
      </w:r>
      <w:hyperlink r:id="rId19" w:anchor="2112" w:history="1">
        <w:r w:rsidRPr="00041975">
          <w:rPr>
            <w:rStyle w:val="Collegamentoipertestuale"/>
            <w:rFonts w:ascii="Andalus" w:hAnsi="Andalus" w:cs="Andalus"/>
            <w:i/>
            <w:color w:val="auto"/>
            <w:sz w:val="24"/>
            <w:szCs w:val="24"/>
            <w:u w:val="none"/>
          </w:rPr>
          <w:t>articolo 2112 del codice civile</w:t>
        </w:r>
      </w:hyperlink>
      <w:r w:rsidRPr="00041975">
        <w:rPr>
          <w:rFonts w:ascii="Andalus" w:hAnsi="Andalus" w:cs="Andalus"/>
          <w:i/>
          <w:sz w:val="24"/>
          <w:szCs w:val="24"/>
        </w:rPr>
        <w:t>.</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b/>
          <w:bCs/>
          <w:i/>
          <w:iCs/>
          <w:color w:val="000000"/>
          <w:kern w:val="3"/>
          <w:sz w:val="24"/>
          <w:szCs w:val="24"/>
          <w:lang w:val="it-IT" w:bidi="en-US"/>
        </w:rPr>
      </w:pPr>
      <w:r w:rsidRPr="00AA32CC">
        <w:rPr>
          <w:rFonts w:ascii="Andalus" w:eastAsia="Lucida Sans Unicode" w:hAnsi="Andalus" w:cs="Andalus"/>
          <w:color w:val="000000"/>
          <w:kern w:val="3"/>
          <w:sz w:val="24"/>
          <w:szCs w:val="24"/>
          <w:lang w:val="it-IT" w:bidi="en-US"/>
        </w:rPr>
        <w:t xml:space="preserve">Volendo fornire una breve lettura d’insieme dell’articolo si può dire che esso si inserisce ancora una volta in un percorso finalizzato a fornire una conoscenza approfondita delle partecipazioni detenute da ciascuna amministrazione pubblica anche al fine di definire, in tempi certi un percorso di sfoltimento delle stesse più volte sollecitato dalla Corte dei Conti. Si veda da ultimo la </w:t>
      </w:r>
      <w:r w:rsidRPr="00AA32CC">
        <w:rPr>
          <w:rFonts w:ascii="Andalus" w:eastAsia="Calibri" w:hAnsi="Andalus" w:cs="Andalus"/>
          <w:color w:val="000000"/>
          <w:kern w:val="3"/>
          <w:sz w:val="24"/>
          <w:szCs w:val="24"/>
          <w:lang w:val="it-IT" w:bidi="en-US"/>
        </w:rPr>
        <w:t>relazione con la quale la Sezione Autonomia della Corte riferisce al Parlamento su “Gli organismi partecipati dagli Enti territoriali – Relazione 2016 (</w:t>
      </w:r>
      <w:r w:rsidRPr="00AA32CC">
        <w:rPr>
          <w:rFonts w:ascii="Andalus" w:eastAsia="Calibri" w:hAnsi="Andalus" w:cs="Andalus"/>
          <w:b/>
          <w:bCs/>
          <w:i/>
          <w:iCs/>
          <w:color w:val="000000"/>
          <w:kern w:val="3"/>
          <w:sz w:val="24"/>
          <w:szCs w:val="24"/>
          <w:lang w:val="it-IT" w:bidi="en-US"/>
        </w:rPr>
        <w:t>Deliberazione n</w:t>
      </w:r>
      <w:r w:rsidR="00820FB5">
        <w:rPr>
          <w:rFonts w:ascii="Andalus" w:eastAsia="Calibri" w:hAnsi="Andalus" w:cs="Andalus"/>
          <w:b/>
          <w:bCs/>
          <w:i/>
          <w:iCs/>
          <w:color w:val="000000"/>
          <w:kern w:val="3"/>
          <w:sz w:val="24"/>
          <w:szCs w:val="24"/>
          <w:lang w:val="it-IT" w:bidi="en-US"/>
        </w:rPr>
        <w:t>.</w:t>
      </w:r>
      <w:r w:rsidRPr="00AA32CC">
        <w:rPr>
          <w:rFonts w:ascii="Andalus" w:eastAsia="Calibri" w:hAnsi="Andalus" w:cs="Andalus"/>
          <w:b/>
          <w:bCs/>
          <w:i/>
          <w:iCs/>
          <w:color w:val="000000"/>
          <w:kern w:val="3"/>
          <w:sz w:val="24"/>
          <w:szCs w:val="24"/>
          <w:lang w:val="it-IT" w:bidi="en-US"/>
        </w:rPr>
        <w:t>27/SEZAUT/2016/FRG).</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AA32CC">
        <w:rPr>
          <w:rFonts w:ascii="Andalus" w:eastAsia="Calibri" w:hAnsi="Andalus" w:cs="Andalus"/>
          <w:color w:val="000000"/>
          <w:kern w:val="3"/>
          <w:sz w:val="24"/>
          <w:szCs w:val="24"/>
          <w:lang w:val="it-IT" w:bidi="en-US"/>
        </w:rPr>
        <w:t>In particolare al comma 1 il legislatore perimetra i contenuti della revisione straordinaria definendo quali società devono essere prese in considerazione, il termine entro cui effettuarla e precisando i soggetti a cui dette informazioni devono essere inviate.</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Gli esiti della revisione, infatti, anche nel caso in cui non si rinvengano situazioni che rendano necessaria l’attuazione di razionalizzazione, dovranno essere comunicati con le modalità di cui all’art. 17 del decreto legge n.190 del 2014, il quale reca disciplina dell’unificazione della banche dati delle società partecipate, alla Corte dei Conti; e alla struttura del Ministero dell’economia incaricata dell’attività di monitoraggio, indirizzo, coordinamento delle società partecipate ai sensi dell’art. 15 del Dec. Leg.vo 175/2016.</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AA32CC">
        <w:rPr>
          <w:rFonts w:ascii="Andalus" w:eastAsia="Calibri" w:hAnsi="Andalus" w:cs="Andalus"/>
          <w:bCs/>
          <w:iCs/>
          <w:color w:val="000000"/>
          <w:kern w:val="3"/>
          <w:sz w:val="24"/>
          <w:szCs w:val="24"/>
          <w:lang w:val="it-IT" w:bidi="en-US"/>
        </w:rPr>
        <w:t xml:space="preserve">Il </w:t>
      </w:r>
      <w:r w:rsidRPr="00AA32CC">
        <w:rPr>
          <w:rFonts w:ascii="Andalus" w:eastAsia="Calibri" w:hAnsi="Andalus" w:cs="Andalus"/>
          <w:b/>
          <w:bCs/>
          <w:iCs/>
          <w:color w:val="000000"/>
          <w:kern w:val="3"/>
          <w:sz w:val="24"/>
          <w:szCs w:val="24"/>
          <w:lang w:val="it-IT" w:bidi="en-US"/>
        </w:rPr>
        <w:t>comma 2</w:t>
      </w:r>
      <w:r w:rsidRPr="00AA32CC">
        <w:rPr>
          <w:rFonts w:ascii="Andalus" w:eastAsia="Calibri" w:hAnsi="Andalus" w:cs="Andalus"/>
          <w:bCs/>
          <w:iCs/>
          <w:color w:val="000000"/>
          <w:kern w:val="3"/>
          <w:sz w:val="24"/>
          <w:szCs w:val="24"/>
          <w:lang w:val="it-IT" w:bidi="en-US"/>
        </w:rPr>
        <w:t xml:space="preserve"> si limita, anche al fine di creare una opportuna consequenzialità tra le varie norme, a precisare che </w:t>
      </w:r>
      <w:r w:rsidRPr="00AA32CC">
        <w:rPr>
          <w:rFonts w:ascii="Andalus" w:eastAsia="Lucida Sans Unicode" w:hAnsi="Andalus" w:cs="Andalus"/>
          <w:color w:val="000000"/>
          <w:kern w:val="3"/>
          <w:sz w:val="24"/>
          <w:szCs w:val="24"/>
          <w:lang w:val="it-IT" w:bidi="en-US"/>
        </w:rPr>
        <w:t>il provvedimento costituisce un aggiornamento del piano operativo di razionalizzazione adottato ai sensi del comma 612 dell’</w:t>
      </w:r>
      <w:r w:rsidRPr="00AA32CC">
        <w:rPr>
          <w:rFonts w:ascii="Andalus" w:eastAsia="Lucida Sans Unicode" w:hAnsi="Andalus" w:cs="Andalus"/>
          <w:iCs/>
          <w:color w:val="000000"/>
          <w:kern w:val="3"/>
          <w:sz w:val="24"/>
          <w:szCs w:val="24"/>
          <w:lang w:val="it-IT" w:bidi="en-US"/>
        </w:rPr>
        <w:t xml:space="preserve">articolo 1, </w:t>
      </w:r>
      <w:r w:rsidRPr="00AA32CC">
        <w:rPr>
          <w:rFonts w:ascii="Andalus" w:eastAsia="Lucida Sans Unicode" w:hAnsi="Andalus" w:cs="Andalus"/>
          <w:color w:val="000000"/>
          <w:kern w:val="3"/>
          <w:sz w:val="24"/>
          <w:szCs w:val="24"/>
          <w:lang w:val="it-IT" w:bidi="en-US"/>
        </w:rPr>
        <w:t>della legge 23 dicembre 2014 n.190, fermi restando i termini ivi previsti.</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AA32CC">
        <w:rPr>
          <w:rFonts w:ascii="Andalus" w:eastAsia="Lucida Sans Unicode" w:hAnsi="Andalus" w:cs="Andalus"/>
          <w:color w:val="000000"/>
          <w:kern w:val="3"/>
          <w:sz w:val="24"/>
          <w:szCs w:val="24"/>
          <w:lang w:val="it-IT" w:bidi="en-US"/>
        </w:rPr>
        <w:t xml:space="preserve">Il </w:t>
      </w:r>
      <w:r w:rsidRPr="00AA32CC">
        <w:rPr>
          <w:rFonts w:ascii="Andalus" w:eastAsia="Lucida Sans Unicode" w:hAnsi="Andalus" w:cs="Andalus"/>
          <w:b/>
          <w:color w:val="000000"/>
          <w:kern w:val="3"/>
          <w:sz w:val="24"/>
          <w:szCs w:val="24"/>
          <w:lang w:val="it-IT" w:bidi="en-US"/>
        </w:rPr>
        <w:t>comma 3</w:t>
      </w:r>
      <w:r w:rsidRPr="00AA32CC">
        <w:rPr>
          <w:rFonts w:ascii="Andalus" w:eastAsia="Lucida Sans Unicode" w:hAnsi="Andalus" w:cs="Andalus"/>
          <w:color w:val="000000"/>
          <w:kern w:val="3"/>
          <w:sz w:val="24"/>
          <w:szCs w:val="24"/>
          <w:lang w:val="it-IT" w:bidi="en-US"/>
        </w:rPr>
        <w:t xml:space="preserve"> si limita a specificare, i soggetti preposti alla ricezione dei provvedimenti predisposti  e precisamente:</w:t>
      </w:r>
    </w:p>
    <w:p w:rsidR="008E5854" w:rsidRPr="00AA32CC" w:rsidRDefault="008E5854" w:rsidP="00AA32CC">
      <w:pPr>
        <w:numPr>
          <w:ilvl w:val="0"/>
          <w:numId w:val="5"/>
        </w:numPr>
        <w:tabs>
          <w:tab w:val="left" w:pos="0"/>
        </w:tabs>
        <w:suppressAutoHyphens/>
        <w:autoSpaceDN w:val="0"/>
        <w:spacing w:after="120"/>
        <w:ind w:left="227" w:hanging="22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alla sezione della Corte dei conti competente ai sensi dell’articolo 5;</w:t>
      </w:r>
    </w:p>
    <w:p w:rsidR="008E5854" w:rsidRPr="00AA32CC" w:rsidRDefault="008E5854" w:rsidP="00AA32CC">
      <w:pPr>
        <w:numPr>
          <w:ilvl w:val="0"/>
          <w:numId w:val="5"/>
        </w:numPr>
        <w:tabs>
          <w:tab w:val="left" w:pos="0"/>
        </w:tabs>
        <w:suppressAutoHyphens/>
        <w:autoSpaceDN w:val="0"/>
        <w:spacing w:after="120"/>
        <w:ind w:left="227" w:hanging="22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e alla struttura del Ministero dell’economia incaricata dell’attività di monitoraggio, indirizzo, coordinamento delle società partecipate ai sensi dell’art. 15 del </w:t>
      </w:r>
      <w:r w:rsidR="008B6033">
        <w:rPr>
          <w:rFonts w:ascii="Andalus" w:eastAsia="Lucida Sans Unicode" w:hAnsi="Andalus" w:cs="Andalus"/>
          <w:kern w:val="3"/>
          <w:sz w:val="24"/>
          <w:szCs w:val="24"/>
          <w:lang w:val="it-IT" w:bidi="en-US"/>
        </w:rPr>
        <w:t>D</w:t>
      </w:r>
      <w:r w:rsidRPr="00AA32CC">
        <w:rPr>
          <w:rFonts w:ascii="Andalus" w:eastAsia="Lucida Sans Unicode" w:hAnsi="Andalus" w:cs="Andalus"/>
          <w:kern w:val="3"/>
          <w:sz w:val="24"/>
          <w:szCs w:val="24"/>
          <w:lang w:val="it-IT" w:bidi="en-US"/>
        </w:rPr>
        <w:t>ec.</w:t>
      </w:r>
      <w:r w:rsidR="008B6033">
        <w:rPr>
          <w:rFonts w:ascii="Andalus" w:eastAsia="Lucida Sans Unicode" w:hAnsi="Andalus" w:cs="Andalus"/>
          <w:kern w:val="3"/>
          <w:sz w:val="24"/>
          <w:szCs w:val="24"/>
          <w:lang w:val="it-IT" w:bidi="en-US"/>
        </w:rPr>
        <w:t xml:space="preserve"> L</w:t>
      </w:r>
      <w:r w:rsidRPr="00AA32CC">
        <w:rPr>
          <w:rFonts w:ascii="Andalus" w:eastAsia="Lucida Sans Unicode" w:hAnsi="Andalus" w:cs="Andalus"/>
          <w:kern w:val="3"/>
          <w:sz w:val="24"/>
          <w:szCs w:val="24"/>
          <w:lang w:val="it-IT" w:bidi="en-US"/>
        </w:rPr>
        <w:t xml:space="preserve">eg.vo 175/2016.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AA32CC">
        <w:rPr>
          <w:rFonts w:ascii="Andalus" w:eastAsia="Lucida Sans Unicode" w:hAnsi="Andalus" w:cs="Andalus"/>
          <w:color w:val="000000"/>
          <w:kern w:val="3"/>
          <w:sz w:val="24"/>
          <w:szCs w:val="24"/>
          <w:lang w:val="it-IT" w:bidi="en-US"/>
        </w:rPr>
        <w:t xml:space="preserve">Il </w:t>
      </w:r>
      <w:r w:rsidRPr="00AA32CC">
        <w:rPr>
          <w:rFonts w:ascii="Andalus" w:eastAsia="Lucida Sans Unicode" w:hAnsi="Andalus" w:cs="Andalus"/>
          <w:b/>
          <w:color w:val="000000"/>
          <w:kern w:val="3"/>
          <w:sz w:val="24"/>
          <w:szCs w:val="24"/>
          <w:lang w:val="it-IT" w:bidi="en-US"/>
        </w:rPr>
        <w:t>comma 4</w:t>
      </w:r>
      <w:r w:rsidRPr="00AA32CC">
        <w:rPr>
          <w:rFonts w:ascii="Andalus" w:eastAsia="Lucida Sans Unicode" w:hAnsi="Andalus" w:cs="Andalus"/>
          <w:color w:val="000000"/>
          <w:kern w:val="3"/>
          <w:sz w:val="24"/>
          <w:szCs w:val="24"/>
          <w:lang w:val="it-IT" w:bidi="en-US"/>
        </w:rPr>
        <w:t xml:space="preserve"> dispone che le operazioni di alienazione individuate dal piano di ricognizione debbano essere effettuate entro un anno dalla ricognizione stessa e con le modalità di alienazione previste dall’art. 10 del decreto.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AA32CC">
        <w:rPr>
          <w:rFonts w:ascii="Andalus" w:eastAsia="Lucida Sans Unicode" w:hAnsi="Andalus" w:cs="Andalus"/>
          <w:color w:val="000000"/>
          <w:kern w:val="3"/>
          <w:sz w:val="24"/>
          <w:szCs w:val="24"/>
          <w:lang w:val="it-IT" w:bidi="en-US"/>
        </w:rPr>
        <w:t xml:space="preserve">Il </w:t>
      </w:r>
      <w:r w:rsidRPr="00AA32CC">
        <w:rPr>
          <w:rFonts w:ascii="Andalus" w:eastAsia="Lucida Sans Unicode" w:hAnsi="Andalus" w:cs="Andalus"/>
          <w:b/>
          <w:color w:val="000000"/>
          <w:kern w:val="3"/>
          <w:sz w:val="24"/>
          <w:szCs w:val="24"/>
          <w:lang w:val="it-IT" w:bidi="en-US"/>
        </w:rPr>
        <w:t>comma 5</w:t>
      </w:r>
      <w:r w:rsidRPr="00AA32CC">
        <w:rPr>
          <w:rFonts w:ascii="Andalus" w:eastAsia="Lucida Sans Unicode" w:hAnsi="Andalus" w:cs="Andalus"/>
          <w:color w:val="000000"/>
          <w:kern w:val="3"/>
          <w:sz w:val="24"/>
          <w:szCs w:val="24"/>
          <w:lang w:val="it-IT" w:bidi="en-US"/>
        </w:rPr>
        <w:t>, invece, disciplina la mancata adozione dell’atto ricognitivo ovvero la mancata alienazione entro i termini previsti prevedendo quale sanzione che il socio pubblico non possa esercitare i diritti sociali nei confronti della società, e, salvo in ogni caso il potere di alienare la partecipazione, la medesima è liquidata in denaro, con l’osservanza, sia per le S.p.A. che per le S.r.l., dei criteri e del procedimento di cui, rispettivamente, agli articoli 2437-</w:t>
      </w:r>
      <w:r w:rsidRPr="00AA32CC">
        <w:rPr>
          <w:rFonts w:ascii="Andalus" w:eastAsia="Lucida Sans Unicode" w:hAnsi="Andalus" w:cs="Andalus"/>
          <w:i/>
          <w:iCs/>
          <w:color w:val="000000"/>
          <w:kern w:val="3"/>
          <w:sz w:val="24"/>
          <w:szCs w:val="24"/>
          <w:lang w:val="it-IT" w:bidi="en-US"/>
        </w:rPr>
        <w:t>ter</w:t>
      </w:r>
      <w:r w:rsidRPr="00AA32CC">
        <w:rPr>
          <w:rFonts w:ascii="Andalus" w:eastAsia="Lucida Sans Unicode" w:hAnsi="Andalus" w:cs="Andalus"/>
          <w:color w:val="000000"/>
          <w:kern w:val="3"/>
          <w:sz w:val="24"/>
          <w:szCs w:val="24"/>
          <w:lang w:val="it-IT" w:bidi="en-US"/>
        </w:rPr>
        <w:t>, secondo comma, e 2437-</w:t>
      </w:r>
      <w:r w:rsidRPr="00AA32CC">
        <w:rPr>
          <w:rFonts w:ascii="Andalus" w:eastAsia="Lucida Sans Unicode" w:hAnsi="Andalus" w:cs="Andalus"/>
          <w:i/>
          <w:iCs/>
          <w:color w:val="000000"/>
          <w:kern w:val="3"/>
          <w:sz w:val="24"/>
          <w:szCs w:val="24"/>
          <w:lang w:val="it-IT" w:bidi="en-US"/>
        </w:rPr>
        <w:t xml:space="preserve">quater </w:t>
      </w:r>
      <w:r w:rsidRPr="00AA32CC">
        <w:rPr>
          <w:rFonts w:ascii="Andalus" w:eastAsia="Lucida Sans Unicode" w:hAnsi="Andalus" w:cs="Andalus"/>
          <w:color w:val="000000"/>
          <w:kern w:val="3"/>
          <w:sz w:val="24"/>
          <w:szCs w:val="24"/>
          <w:lang w:val="it-IT" w:bidi="en-US"/>
        </w:rPr>
        <w:t xml:space="preserve">del codice civile.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Il </w:t>
      </w:r>
      <w:r w:rsidRPr="00AA32CC">
        <w:rPr>
          <w:rFonts w:ascii="Andalus" w:eastAsia="Lucida Sans Unicode" w:hAnsi="Andalus" w:cs="Andalus"/>
          <w:b/>
          <w:kern w:val="3"/>
          <w:sz w:val="24"/>
          <w:szCs w:val="24"/>
          <w:lang w:val="it-IT" w:bidi="en-US"/>
        </w:rPr>
        <w:t>comma 6</w:t>
      </w:r>
      <w:r w:rsidRPr="00AA32CC">
        <w:rPr>
          <w:rFonts w:ascii="Andalus" w:eastAsia="Lucida Sans Unicode" w:hAnsi="Andalus" w:cs="Andalus"/>
          <w:kern w:val="3"/>
          <w:sz w:val="24"/>
          <w:szCs w:val="24"/>
          <w:lang w:val="it-IT" w:bidi="en-US"/>
        </w:rPr>
        <w:t xml:space="preserve"> costituisce una specifica precisazione per le modalità di alienazione delle società </w:t>
      </w:r>
      <w:r w:rsidR="00820FB5">
        <w:rPr>
          <w:rFonts w:ascii="Andalus" w:eastAsia="Lucida Sans Unicode" w:hAnsi="Andalus" w:cs="Andalus"/>
          <w:kern w:val="3"/>
          <w:sz w:val="24"/>
          <w:szCs w:val="24"/>
          <w:lang w:val="it-IT" w:bidi="en-US"/>
        </w:rPr>
        <w:t>uni personali.</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Il </w:t>
      </w:r>
      <w:r w:rsidRPr="00AA32CC">
        <w:rPr>
          <w:rFonts w:ascii="Andalus" w:eastAsia="Lucida Sans Unicode" w:hAnsi="Andalus" w:cs="Andalus"/>
          <w:b/>
          <w:kern w:val="3"/>
          <w:sz w:val="24"/>
          <w:szCs w:val="24"/>
          <w:lang w:val="it-IT" w:bidi="en-US"/>
        </w:rPr>
        <w:t>comma 7</w:t>
      </w:r>
      <w:r w:rsidRPr="00AA32CC">
        <w:rPr>
          <w:rFonts w:ascii="Andalus" w:eastAsia="Lucida Sans Unicode" w:hAnsi="Andalus" w:cs="Andalus"/>
          <w:kern w:val="3"/>
          <w:sz w:val="24"/>
          <w:szCs w:val="24"/>
          <w:lang w:val="it-IT" w:bidi="en-US"/>
        </w:rPr>
        <w:t xml:space="preserve"> precisa che i predetti obblighi di alienazione valgono anche nel caso di partecipazioni societarie acquistate in conformità ad espresse previsioni normative, statali o regionali. </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lastRenderedPageBreak/>
        <w:t xml:space="preserve">Il </w:t>
      </w:r>
      <w:r w:rsidRPr="00AA32CC">
        <w:rPr>
          <w:rFonts w:ascii="Andalus" w:eastAsia="Lucida Sans Unicode" w:hAnsi="Andalus" w:cs="Andalus"/>
          <w:b/>
          <w:kern w:val="3"/>
          <w:sz w:val="24"/>
          <w:szCs w:val="24"/>
          <w:lang w:val="it-IT" w:bidi="en-US"/>
        </w:rPr>
        <w:t>comma 8</w:t>
      </w:r>
      <w:r w:rsidRPr="00AA32CC">
        <w:rPr>
          <w:rFonts w:ascii="Andalus" w:eastAsia="Lucida Sans Unicode" w:hAnsi="Andalus" w:cs="Andalus"/>
          <w:kern w:val="3"/>
          <w:sz w:val="24"/>
          <w:szCs w:val="24"/>
          <w:lang w:val="it-IT" w:bidi="en-US"/>
        </w:rPr>
        <w:t xml:space="preserve"> ribadisce indirettamente la precisazione contenuta nel comma 7 e prevede che all’attuazione dei piani di ricognizione si applichino le disposizioni previste, per i piani operativi, dai commi 613 e 614 dell’art. 1 della legge n.190 del 2014.</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kern w:val="3"/>
          <w:sz w:val="24"/>
          <w:szCs w:val="24"/>
          <w:lang w:val="it-IT" w:bidi="en-US"/>
        </w:rPr>
      </w:pPr>
      <w:r w:rsidRPr="00AA32CC">
        <w:rPr>
          <w:rFonts w:ascii="Andalus" w:eastAsia="Lucida Sans Unicode" w:hAnsi="Andalus" w:cs="Andalus"/>
          <w:kern w:val="3"/>
          <w:sz w:val="24"/>
          <w:szCs w:val="24"/>
          <w:lang w:val="it-IT" w:bidi="en-US"/>
        </w:rPr>
        <w:t xml:space="preserve">Infine, il </w:t>
      </w:r>
      <w:r w:rsidRPr="00AA32CC">
        <w:rPr>
          <w:rFonts w:ascii="Andalus" w:eastAsia="Lucida Sans Unicode" w:hAnsi="Andalus" w:cs="Andalus"/>
          <w:b/>
          <w:kern w:val="3"/>
          <w:sz w:val="24"/>
          <w:szCs w:val="24"/>
          <w:lang w:val="it-IT" w:bidi="en-US"/>
        </w:rPr>
        <w:t>comma 9</w:t>
      </w:r>
      <w:r w:rsidRPr="00AA32CC">
        <w:rPr>
          <w:rFonts w:ascii="Andalus" w:eastAsia="Lucida Sans Unicode" w:hAnsi="Andalus" w:cs="Andalus"/>
          <w:kern w:val="3"/>
          <w:sz w:val="24"/>
          <w:szCs w:val="24"/>
          <w:lang w:val="it-IT" w:bidi="en-US"/>
        </w:rPr>
        <w:t xml:space="preserve"> prevede che per favorire i processi in esame, in occasione della prima gara successiva alla cessazione dell’affidamento in favore della società a controllo pubblico coinvolta nel procedimento di alienazione, al personale già impiegato nell’appalto o nella concessione cessati si applica la disciplina in materia di trasferimento d’azienda, in deroga all’articolo 29, comma 3, del decreto legislativo 10 settembre 2003, n. 276. Le disposizioni del comma si applicano anche alle società quotate. </w:t>
      </w:r>
    </w:p>
    <w:p w:rsidR="008E5854" w:rsidRPr="00AA32CC" w:rsidRDefault="008E5854" w:rsidP="00AA32CC">
      <w:pPr>
        <w:tabs>
          <w:tab w:val="left" w:pos="0"/>
        </w:tabs>
        <w:suppressAutoHyphens/>
        <w:autoSpaceDN w:val="0"/>
        <w:spacing w:after="120"/>
        <w:jc w:val="center"/>
        <w:textAlignment w:val="baseline"/>
        <w:rPr>
          <w:rFonts w:ascii="Andalus" w:eastAsia="Lucida Sans Unicode" w:hAnsi="Andalus" w:cs="Andalus"/>
          <w:b/>
          <w:color w:val="000000"/>
          <w:kern w:val="3"/>
          <w:sz w:val="24"/>
          <w:szCs w:val="24"/>
          <w:u w:val="single"/>
          <w:lang w:val="it-IT" w:bidi="en-US"/>
        </w:rPr>
      </w:pPr>
    </w:p>
    <w:p w:rsidR="008E5854" w:rsidRPr="00AA32CC" w:rsidRDefault="008E5854" w:rsidP="00AA32CC">
      <w:pPr>
        <w:tabs>
          <w:tab w:val="left" w:pos="0"/>
        </w:tabs>
        <w:suppressAutoHyphens/>
        <w:autoSpaceDN w:val="0"/>
        <w:spacing w:after="120"/>
        <w:jc w:val="center"/>
        <w:textAlignment w:val="baseline"/>
        <w:rPr>
          <w:rFonts w:ascii="Andalus" w:eastAsia="Lucida Sans Unicode" w:hAnsi="Andalus" w:cs="Andalus"/>
          <w:b/>
          <w:color w:val="000000"/>
          <w:kern w:val="3"/>
          <w:sz w:val="24"/>
          <w:szCs w:val="24"/>
          <w:u w:val="single"/>
          <w:lang w:val="it-IT" w:bidi="en-US"/>
        </w:rPr>
      </w:pPr>
      <w:r w:rsidRPr="00AA32CC">
        <w:rPr>
          <w:rFonts w:ascii="Andalus" w:eastAsia="Lucida Sans Unicode" w:hAnsi="Andalus" w:cs="Andalus"/>
          <w:b/>
          <w:color w:val="000000"/>
          <w:kern w:val="3"/>
          <w:sz w:val="24"/>
          <w:szCs w:val="24"/>
          <w:u w:val="single"/>
          <w:lang w:val="it-IT" w:bidi="en-US"/>
        </w:rPr>
        <w:t xml:space="preserve">I Contenuti del Piano di Revisione Straordinaria del Comune di </w:t>
      </w:r>
      <w:r w:rsidR="006F0F1A">
        <w:rPr>
          <w:rFonts w:ascii="Andalus" w:eastAsia="Lucida Sans Unicode" w:hAnsi="Andalus" w:cs="Andalus"/>
          <w:b/>
          <w:color w:val="000000"/>
          <w:kern w:val="3"/>
          <w:sz w:val="24"/>
          <w:szCs w:val="24"/>
          <w:u w:val="single"/>
          <w:lang w:val="it-IT" w:bidi="en-US"/>
        </w:rPr>
        <w:t>Assoro</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bCs/>
          <w:iCs/>
          <w:color w:val="000000"/>
          <w:kern w:val="3"/>
          <w:sz w:val="24"/>
          <w:szCs w:val="24"/>
          <w:lang w:val="it-IT" w:bidi="en-US"/>
        </w:rPr>
      </w:pPr>
      <w:r w:rsidRPr="00AA32CC">
        <w:rPr>
          <w:rFonts w:ascii="Andalus" w:eastAsia="Calibri" w:hAnsi="Andalus" w:cs="Andalus"/>
          <w:bCs/>
          <w:iCs/>
          <w:color w:val="000000"/>
          <w:kern w:val="3"/>
          <w:sz w:val="24"/>
          <w:szCs w:val="24"/>
          <w:lang w:val="it-IT" w:bidi="en-US"/>
        </w:rPr>
        <w:t>Conclusa l’analisi dell’articolo, nei paragrafi successivi si cercherà di approfondire i contenuti dei vari commi e le attività poste in essere. A tal fine il lavoro è stato articolato come segue:</w:t>
      </w:r>
    </w:p>
    <w:p w:rsidR="008E5854" w:rsidRPr="00AA32CC" w:rsidRDefault="008E5854" w:rsidP="00AA32CC">
      <w:pPr>
        <w:numPr>
          <w:ilvl w:val="0"/>
          <w:numId w:val="6"/>
        </w:numPr>
        <w:tabs>
          <w:tab w:val="left" w:pos="0"/>
        </w:tabs>
        <w:suppressAutoHyphens/>
        <w:autoSpaceDN w:val="0"/>
        <w:spacing w:after="120"/>
        <w:ind w:left="284" w:hanging="284"/>
        <w:jc w:val="both"/>
        <w:textAlignment w:val="baseline"/>
        <w:rPr>
          <w:rFonts w:ascii="Andalus" w:eastAsia="Calibri" w:hAnsi="Andalus" w:cs="Andalus"/>
          <w:bCs/>
          <w:iCs/>
          <w:kern w:val="3"/>
          <w:sz w:val="24"/>
          <w:szCs w:val="24"/>
          <w:lang w:val="it-IT" w:bidi="en-US"/>
        </w:rPr>
      </w:pPr>
      <w:r w:rsidRPr="00AA32CC">
        <w:rPr>
          <w:rFonts w:ascii="Andalus" w:eastAsia="Calibri" w:hAnsi="Andalus" w:cs="Andalus"/>
          <w:bCs/>
          <w:iCs/>
          <w:kern w:val="3"/>
          <w:sz w:val="24"/>
          <w:szCs w:val="24"/>
          <w:lang w:val="it-IT" w:bidi="en-US"/>
        </w:rPr>
        <w:t>Definizione del perimetro delle partecipate da analizzare</w:t>
      </w:r>
    </w:p>
    <w:p w:rsidR="008E5854" w:rsidRPr="00AA32CC" w:rsidRDefault="008E5854" w:rsidP="00AA32CC">
      <w:pPr>
        <w:numPr>
          <w:ilvl w:val="0"/>
          <w:numId w:val="6"/>
        </w:numPr>
        <w:tabs>
          <w:tab w:val="left" w:pos="0"/>
        </w:tabs>
        <w:suppressAutoHyphens/>
        <w:autoSpaceDN w:val="0"/>
        <w:spacing w:after="120"/>
        <w:ind w:left="284" w:hanging="284"/>
        <w:jc w:val="both"/>
        <w:textAlignment w:val="baseline"/>
        <w:rPr>
          <w:rFonts w:ascii="Andalus" w:eastAsia="Calibri" w:hAnsi="Andalus" w:cs="Andalus"/>
          <w:bCs/>
          <w:iCs/>
          <w:kern w:val="3"/>
          <w:sz w:val="24"/>
          <w:szCs w:val="24"/>
          <w:lang w:val="it-IT" w:bidi="en-US"/>
        </w:rPr>
      </w:pPr>
      <w:r w:rsidRPr="00AA32CC">
        <w:rPr>
          <w:rFonts w:ascii="Andalus" w:eastAsia="Calibri" w:hAnsi="Andalus" w:cs="Andalus"/>
          <w:bCs/>
          <w:iCs/>
          <w:kern w:val="3"/>
          <w:sz w:val="24"/>
          <w:szCs w:val="24"/>
          <w:lang w:val="it-IT" w:bidi="en-US"/>
        </w:rPr>
        <w:t>Definizione del Piano di revisione straordinario</w:t>
      </w:r>
    </w:p>
    <w:p w:rsidR="008E5854" w:rsidRPr="00AA32CC" w:rsidRDefault="008E5854" w:rsidP="00AA32CC">
      <w:pPr>
        <w:numPr>
          <w:ilvl w:val="0"/>
          <w:numId w:val="6"/>
        </w:numPr>
        <w:tabs>
          <w:tab w:val="left" w:pos="0"/>
        </w:tabs>
        <w:suppressAutoHyphens/>
        <w:autoSpaceDN w:val="0"/>
        <w:spacing w:after="120"/>
        <w:ind w:left="284" w:hanging="284"/>
        <w:jc w:val="both"/>
        <w:textAlignment w:val="baseline"/>
        <w:rPr>
          <w:rFonts w:ascii="Andalus" w:eastAsia="Calibri" w:hAnsi="Andalus" w:cs="Andalus"/>
          <w:bCs/>
          <w:iCs/>
          <w:kern w:val="3"/>
          <w:sz w:val="24"/>
          <w:szCs w:val="24"/>
          <w:lang w:val="it-IT" w:bidi="en-US"/>
        </w:rPr>
      </w:pPr>
      <w:r w:rsidRPr="00AA32CC">
        <w:rPr>
          <w:rFonts w:ascii="Andalus" w:eastAsia="Calibri" w:hAnsi="Andalus" w:cs="Andalus"/>
          <w:bCs/>
          <w:iCs/>
          <w:kern w:val="3"/>
          <w:sz w:val="24"/>
          <w:szCs w:val="24"/>
          <w:lang w:val="it-IT" w:bidi="en-US"/>
        </w:rPr>
        <w:t>Approvazione e trasmissione del Piano di revisione straordinario</w:t>
      </w:r>
    </w:p>
    <w:p w:rsidR="008E5854" w:rsidRPr="00AA32CC" w:rsidRDefault="008E5854" w:rsidP="00AA32CC">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AA32CC">
        <w:rPr>
          <w:rFonts w:ascii="Andalus" w:eastAsia="Calibri" w:hAnsi="Andalus" w:cs="Andalus"/>
          <w:color w:val="000000"/>
          <w:kern w:val="3"/>
          <w:sz w:val="24"/>
          <w:szCs w:val="24"/>
          <w:lang w:val="it-IT" w:bidi="en-US"/>
        </w:rPr>
        <w:t xml:space="preserve">Detto iter trova riscontro non solo nell’articolato della norma ma anche nelle precisazioni del MEF e della Corte dei Conti per i quali il processo di razionalizzazione, nella sua formulazione straordinaria e periodica, rappresenta il punto di sintesi di una valutazione complessiva della convenienza dell’ente territoriale a mantenere in essere partecipazioni societarie rispetto ad altre soluzioni. Tutto ciò nell’ottica di una maggiore responsabilizzazione degli enti soci i quali sono tenuti a procedimentalizzare ogni decisione in materia, non soltanto in fase di acquisizione delle partecipazioni ma anche in sede di revisione, per verificare la permanenza delle ragioni del loro mantenimento. </w:t>
      </w:r>
    </w:p>
    <w:p w:rsidR="008E5854" w:rsidRPr="00AA32CC" w:rsidRDefault="008E5854" w:rsidP="00757E94">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AA32CC">
        <w:rPr>
          <w:rFonts w:ascii="Andalus" w:eastAsia="Calibri" w:hAnsi="Andalus" w:cs="Andalus"/>
          <w:color w:val="000000"/>
          <w:kern w:val="3"/>
          <w:sz w:val="24"/>
          <w:szCs w:val="24"/>
          <w:lang w:val="it-IT" w:bidi="en-US"/>
        </w:rPr>
        <w:t xml:space="preserve">È da ritenere, anzi, che l’atto di ricognizione, oltre a costituire un adempimento per l’ente, sia l’espressione più concreta dell’esercizio dei doveri del socio, a norma del codice civile e delle regole di buona amministrazione. Per tutte queste ragioni, evidentemente, l’art. 24 co. 1, secondo periodo, stabilisce che </w:t>
      </w:r>
      <w:r w:rsidRPr="00757E94">
        <w:rPr>
          <w:rFonts w:ascii="Andalus" w:eastAsia="Calibri" w:hAnsi="Andalus" w:cs="Andalus"/>
          <w:color w:val="000000"/>
          <w:kern w:val="3"/>
          <w:sz w:val="24"/>
          <w:szCs w:val="24"/>
          <w:lang w:val="it-IT" w:bidi="en-US"/>
        </w:rPr>
        <w:t>la dichiarazione negativa o per decretarne il mantenimento senza interventi di razionalizzazione.</w:t>
      </w:r>
      <w:r w:rsidR="00757E94" w:rsidRPr="00757E94">
        <w:rPr>
          <w:rFonts w:ascii="Andalus" w:eastAsia="Calibri" w:hAnsi="Andalus" w:cs="Andalus"/>
          <w:color w:val="000000"/>
          <w:kern w:val="3"/>
          <w:sz w:val="24"/>
          <w:szCs w:val="24"/>
          <w:lang w:val="it-IT" w:bidi="en-US"/>
        </w:rPr>
        <w:t xml:space="preserve"> «ciascuna amministrazione pubblica effettua con provvedimento motivato la ricognizione di tutte le partecipazioni possedute», sia pure per rendere</w:t>
      </w:r>
      <w:r w:rsidR="00757E94">
        <w:rPr>
          <w:rFonts w:ascii="Andalus" w:eastAsia="Calibri" w:hAnsi="Andalus" w:cs="Andalus"/>
          <w:color w:val="000000"/>
          <w:kern w:val="3"/>
          <w:sz w:val="24"/>
          <w:szCs w:val="24"/>
          <w:lang w:val="it-IT" w:bidi="en-US"/>
        </w:rPr>
        <w:t>.</w:t>
      </w:r>
    </w:p>
    <w:p w:rsidR="008E5854" w:rsidRPr="00AA32CC" w:rsidRDefault="008E5854" w:rsidP="00AA32CC">
      <w:pPr>
        <w:tabs>
          <w:tab w:val="left" w:pos="0"/>
        </w:tabs>
        <w:suppressAutoHyphens/>
        <w:autoSpaceDN w:val="0"/>
        <w:spacing w:after="120"/>
        <w:jc w:val="both"/>
        <w:textAlignment w:val="baseline"/>
        <w:rPr>
          <w:rFonts w:ascii="Andalus" w:eastAsia="Calibri" w:hAnsi="Andalus" w:cs="Andalus"/>
          <w:bCs/>
          <w:iCs/>
          <w:color w:val="000000"/>
          <w:kern w:val="3"/>
          <w:sz w:val="24"/>
          <w:szCs w:val="24"/>
          <w:lang w:val="it-IT" w:bidi="en-US"/>
        </w:rPr>
      </w:pPr>
    </w:p>
    <w:p w:rsidR="008E5854" w:rsidRPr="00AA32CC" w:rsidRDefault="008E5854" w:rsidP="00AA32CC">
      <w:pPr>
        <w:tabs>
          <w:tab w:val="left" w:pos="0"/>
        </w:tabs>
        <w:suppressAutoHyphens/>
        <w:autoSpaceDN w:val="0"/>
        <w:spacing w:after="120"/>
        <w:jc w:val="both"/>
        <w:textAlignment w:val="baseline"/>
        <w:rPr>
          <w:rFonts w:ascii="Andalus" w:eastAsia="Calibri" w:hAnsi="Andalus" w:cs="Andalus"/>
          <w:b/>
          <w:bCs/>
          <w:iCs/>
          <w:color w:val="000000"/>
          <w:kern w:val="3"/>
          <w:sz w:val="24"/>
          <w:szCs w:val="24"/>
          <w:u w:val="single"/>
          <w:lang w:val="it-IT" w:bidi="en-US"/>
        </w:rPr>
      </w:pPr>
      <w:r w:rsidRPr="00AA32CC">
        <w:rPr>
          <w:rFonts w:ascii="Andalus" w:eastAsia="Calibri" w:hAnsi="Andalus" w:cs="Andalus"/>
          <w:b/>
          <w:bCs/>
          <w:iCs/>
          <w:color w:val="000000"/>
          <w:kern w:val="3"/>
          <w:sz w:val="24"/>
          <w:szCs w:val="24"/>
          <w:u w:val="single"/>
          <w:lang w:val="it-IT" w:bidi="en-US"/>
        </w:rPr>
        <w:t xml:space="preserve">I Precedenti Provvedimenti di razionalizzazione posti in essere dal Comune di </w:t>
      </w:r>
      <w:r w:rsidR="006F0F1A">
        <w:rPr>
          <w:rFonts w:ascii="Andalus" w:eastAsia="Calibri" w:hAnsi="Andalus" w:cs="Andalus"/>
          <w:b/>
          <w:bCs/>
          <w:iCs/>
          <w:color w:val="000000"/>
          <w:kern w:val="3"/>
          <w:sz w:val="24"/>
          <w:szCs w:val="24"/>
          <w:u w:val="single"/>
          <w:lang w:val="it-IT" w:bidi="en-US"/>
        </w:rPr>
        <w:t>ASSORO</w:t>
      </w:r>
    </w:p>
    <w:p w:rsidR="008E5854" w:rsidRPr="00AA32CC" w:rsidRDefault="008E5854" w:rsidP="00AA32CC">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rPr>
      </w:pPr>
      <w:r w:rsidRPr="00AA32CC">
        <w:rPr>
          <w:rFonts w:ascii="Andalus" w:eastAsia="Lucida Sans Unicode" w:hAnsi="Andalus" w:cs="Andalus"/>
          <w:color w:val="000000"/>
          <w:kern w:val="3"/>
          <w:sz w:val="24"/>
          <w:szCs w:val="24"/>
          <w:lang w:val="it-IT"/>
        </w:rPr>
        <w:t>Al fine di comprendere il lavoro svolto è necessario richiamare non solo il quadro giuridico di riferimento ma anche dei precedenti atti posti in essere da parte dell’ente in attuazione di precedenti disposizioni normative o anche di scelte aziendali poste in essere autonomamente.</w:t>
      </w:r>
    </w:p>
    <w:p w:rsidR="00B8673A" w:rsidRDefault="008E5854" w:rsidP="008B6033">
      <w:pPr>
        <w:tabs>
          <w:tab w:val="left" w:pos="0"/>
        </w:tabs>
        <w:suppressAutoHyphens/>
        <w:autoSpaceDN w:val="0"/>
        <w:spacing w:after="120"/>
        <w:ind w:firstLine="567"/>
        <w:textAlignment w:val="baseline"/>
        <w:rPr>
          <w:rFonts w:ascii="Andalus" w:eastAsia="Lucida Sans Unicode" w:hAnsi="Andalus" w:cs="Andalus"/>
          <w:color w:val="000000"/>
          <w:kern w:val="3"/>
          <w:sz w:val="24"/>
          <w:szCs w:val="24"/>
          <w:lang w:val="it-IT" w:bidi="en-US"/>
        </w:rPr>
        <w:sectPr w:rsidR="00B8673A" w:rsidSect="005843E0">
          <w:footerReference w:type="default" r:id="rId20"/>
          <w:footerReference w:type="first" r:id="rId21"/>
          <w:pgSz w:w="11906" w:h="16838"/>
          <w:pgMar w:top="1417" w:right="1134" w:bottom="1134" w:left="1134" w:header="2041" w:footer="708" w:gutter="0"/>
          <w:pgNumType w:start="0"/>
          <w:cols w:space="708"/>
          <w:titlePg/>
          <w:docGrid w:linePitch="360"/>
        </w:sectPr>
      </w:pPr>
      <w:r w:rsidRPr="00AA32CC">
        <w:rPr>
          <w:rFonts w:ascii="Andalus" w:eastAsia="Lucida Sans Unicode" w:hAnsi="Andalus" w:cs="Andalus"/>
          <w:color w:val="000000"/>
          <w:kern w:val="3"/>
          <w:sz w:val="24"/>
          <w:szCs w:val="24"/>
          <w:lang w:val="it-IT"/>
        </w:rPr>
        <w:t>In tema di razionalizzazione delle partecipazioni societarie il nostro ente ha</w:t>
      </w:r>
      <w:r w:rsidR="008B6033">
        <w:rPr>
          <w:rFonts w:ascii="Andalus" w:eastAsia="Lucida Sans Unicode" w:hAnsi="Andalus" w:cs="Andalus"/>
          <w:color w:val="000000"/>
          <w:kern w:val="3"/>
          <w:sz w:val="24"/>
          <w:szCs w:val="24"/>
          <w:lang w:val="it-IT"/>
        </w:rPr>
        <w:t xml:space="preserve"> </w:t>
      </w:r>
      <w:r w:rsidR="00F911B4">
        <w:rPr>
          <w:rFonts w:ascii="Andalus" w:eastAsia="Lucida Sans Unicode" w:hAnsi="Andalus" w:cs="Andalus"/>
          <w:color w:val="000000"/>
          <w:kern w:val="3"/>
          <w:sz w:val="24"/>
          <w:szCs w:val="24"/>
          <w:lang w:val="it-IT" w:bidi="en-US"/>
        </w:rPr>
        <w:t xml:space="preserve">da tempo avviato un percorso di </w:t>
      </w:r>
      <w:r w:rsidRPr="00AA32CC">
        <w:rPr>
          <w:rFonts w:ascii="Andalus" w:eastAsia="Lucida Sans Unicode" w:hAnsi="Andalus" w:cs="Andalus"/>
          <w:color w:val="000000"/>
          <w:kern w:val="3"/>
          <w:sz w:val="24"/>
          <w:szCs w:val="24"/>
          <w:lang w:val="it-IT" w:bidi="en-US"/>
        </w:rPr>
        <w:t>razionalizzazi</w:t>
      </w:r>
      <w:r w:rsidR="00F911B4">
        <w:rPr>
          <w:rFonts w:ascii="Andalus" w:eastAsia="Lucida Sans Unicode" w:hAnsi="Andalus" w:cs="Andalus"/>
          <w:color w:val="000000"/>
          <w:kern w:val="3"/>
          <w:sz w:val="24"/>
          <w:szCs w:val="24"/>
          <w:lang w:val="it-IT" w:bidi="en-US"/>
        </w:rPr>
        <w:t>one delle proprie partecipazioni.</w:t>
      </w:r>
    </w:p>
    <w:p w:rsidR="008E5854" w:rsidRPr="00716BA6" w:rsidRDefault="006F0F1A" w:rsidP="00E32C67">
      <w:pPr>
        <w:spacing w:after="120"/>
        <w:jc w:val="both"/>
        <w:textAlignment w:val="baseline"/>
        <w:rPr>
          <w:rFonts w:ascii="Andalus" w:eastAsia="Calibri" w:hAnsi="Andalus" w:cs="Andalus"/>
          <w:bCs/>
          <w:iCs/>
          <w:color w:val="000000"/>
          <w:kern w:val="3"/>
          <w:sz w:val="24"/>
          <w:szCs w:val="24"/>
          <w:lang w:val="it-IT" w:bidi="en-US"/>
        </w:rPr>
      </w:pPr>
      <w:r>
        <w:rPr>
          <w:rFonts w:ascii="Andalus" w:eastAsia="Calibri" w:hAnsi="Andalus" w:cs="Andalus"/>
          <w:bCs/>
          <w:iCs/>
          <w:color w:val="000000"/>
          <w:kern w:val="3"/>
          <w:sz w:val="24"/>
          <w:szCs w:val="24"/>
          <w:lang w:val="it-IT" w:bidi="en-US"/>
        </w:rPr>
        <w:lastRenderedPageBreak/>
        <w:t>L</w:t>
      </w:r>
      <w:r w:rsidR="008E5854" w:rsidRPr="00716BA6">
        <w:rPr>
          <w:rFonts w:ascii="Andalus" w:eastAsia="Calibri" w:hAnsi="Andalus" w:cs="Andalus"/>
          <w:bCs/>
          <w:iCs/>
          <w:color w:val="000000"/>
          <w:kern w:val="3"/>
          <w:sz w:val="24"/>
          <w:szCs w:val="24"/>
          <w:lang w:val="it-IT" w:bidi="en-US"/>
        </w:rPr>
        <w:t>’ultimo intervento ricognitivo e di razionalizzazione è stato</w:t>
      </w:r>
      <w:r w:rsidR="00E32C67">
        <w:rPr>
          <w:rFonts w:ascii="Andalus" w:eastAsia="Calibri" w:hAnsi="Andalus" w:cs="Andalus"/>
          <w:bCs/>
          <w:iCs/>
          <w:color w:val="000000"/>
          <w:kern w:val="3"/>
          <w:sz w:val="24"/>
          <w:szCs w:val="24"/>
          <w:lang w:val="it-IT" w:bidi="en-US"/>
        </w:rPr>
        <w:t xml:space="preserve"> effettuato con </w:t>
      </w:r>
      <w:r w:rsidR="00F911B4" w:rsidRPr="00E32C67">
        <w:rPr>
          <w:rFonts w:ascii="Andalus" w:eastAsiaTheme="minorHAnsi" w:hAnsi="Andalus" w:cs="Andalus"/>
          <w:sz w:val="24"/>
          <w:szCs w:val="24"/>
          <w:lang w:val="it-IT"/>
        </w:rPr>
        <w:t>la</w:t>
      </w:r>
      <w:r w:rsidR="008B6033">
        <w:rPr>
          <w:rFonts w:ascii="Andalus" w:eastAsiaTheme="minorHAnsi" w:hAnsi="Andalus" w:cs="Andalus"/>
          <w:sz w:val="24"/>
          <w:szCs w:val="24"/>
          <w:lang w:val="it-IT"/>
        </w:rPr>
        <w:t xml:space="preserve"> </w:t>
      </w:r>
      <w:r w:rsidR="008E5854" w:rsidRPr="00E32C67">
        <w:rPr>
          <w:rFonts w:ascii="Andalus" w:eastAsiaTheme="minorHAnsi" w:hAnsi="Andalus" w:cs="Andalus"/>
          <w:sz w:val="24"/>
          <w:szCs w:val="24"/>
          <w:lang w:val="it-IT"/>
        </w:rPr>
        <w:t xml:space="preserve">deliberazione </w:t>
      </w:r>
      <w:r w:rsidR="00F911B4" w:rsidRPr="00E32C67">
        <w:rPr>
          <w:rFonts w:ascii="Andalus" w:eastAsiaTheme="minorHAnsi" w:hAnsi="Andalus" w:cs="Andalus"/>
          <w:sz w:val="24"/>
          <w:szCs w:val="24"/>
          <w:lang w:val="it-IT"/>
        </w:rPr>
        <w:t>di G.M. n.</w:t>
      </w:r>
      <w:r w:rsidR="00E32C67" w:rsidRPr="00E32C67">
        <w:rPr>
          <w:rFonts w:ascii="Andalus" w:eastAsiaTheme="minorHAnsi" w:hAnsi="Andalus" w:cs="Andalus"/>
          <w:sz w:val="24"/>
          <w:szCs w:val="24"/>
          <w:lang w:val="it-IT"/>
        </w:rPr>
        <w:t>134 del 30/12/2015</w:t>
      </w:r>
      <w:r w:rsidR="00757E94">
        <w:rPr>
          <w:rFonts w:ascii="Andalus" w:eastAsiaTheme="minorHAnsi" w:hAnsi="Andalus" w:cs="Andalus"/>
          <w:sz w:val="24"/>
          <w:szCs w:val="24"/>
          <w:lang w:val="it-IT"/>
        </w:rPr>
        <w:t>.</w:t>
      </w:r>
    </w:p>
    <w:p w:rsidR="008B6033" w:rsidRDefault="00757E94" w:rsidP="008B6033">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716BA6">
        <w:rPr>
          <w:rFonts w:ascii="Andalus" w:eastAsia="Calibri" w:hAnsi="Andalus" w:cs="Andalus"/>
          <w:bCs/>
          <w:iCs/>
          <w:color w:val="000000"/>
          <w:kern w:val="3"/>
          <w:sz w:val="24"/>
          <w:szCs w:val="24"/>
          <w:lang w:val="it-IT" w:bidi="en-US"/>
        </w:rPr>
        <w:t xml:space="preserve">Così come richiamato nel comma 2 dell’articolo 24 </w:t>
      </w:r>
      <w:r w:rsidRPr="00716BA6">
        <w:rPr>
          <w:rFonts w:ascii="Andalus" w:eastAsia="Calibri" w:hAnsi="Andalus" w:cs="Andalus"/>
          <w:bCs/>
          <w:iCs/>
          <w:kern w:val="3"/>
          <w:sz w:val="24"/>
          <w:szCs w:val="24"/>
          <w:lang w:val="it-IT" w:bidi="en-US"/>
        </w:rPr>
        <w:t xml:space="preserve">del </w:t>
      </w:r>
      <w:hyperlink r:id="rId22" w:tgtFrame="BT" w:history="1">
        <w:hyperlink r:id="rId23" w:tgtFrame="BT" w:history="1">
          <w:r w:rsidRPr="00716BA6">
            <w:rPr>
              <w:rStyle w:val="Collegamentoipertestuale"/>
              <w:rFonts w:ascii="Andalus" w:eastAsia="Calibri" w:hAnsi="Andalus" w:cs="Andalus"/>
              <w:bCs/>
              <w:iCs/>
              <w:color w:val="auto"/>
              <w:kern w:val="3"/>
              <w:sz w:val="24"/>
              <w:szCs w:val="24"/>
              <w:lang w:val="it-IT" w:bidi="en-US"/>
            </w:rPr>
            <w:t>D.Lgs. 175/2016</w:t>
          </w:r>
        </w:hyperlink>
      </w:hyperlink>
      <w:r w:rsidRPr="00716BA6">
        <w:rPr>
          <w:rFonts w:ascii="Andalus" w:eastAsia="Calibri" w:hAnsi="Andalus" w:cs="Andalus"/>
          <w:bCs/>
          <w:iCs/>
          <w:color w:val="000000"/>
          <w:kern w:val="3"/>
          <w:sz w:val="24"/>
          <w:szCs w:val="24"/>
          <w:lang w:val="it-IT" w:bidi="en-US"/>
        </w:rPr>
        <w:t xml:space="preserve">, il presente Piano straordinario si pone in diretta consequenzialità con </w:t>
      </w:r>
      <w:r w:rsidRPr="00716BA6">
        <w:rPr>
          <w:rFonts w:ascii="Andalus" w:eastAsia="Lucida Sans Unicode" w:hAnsi="Andalus" w:cs="Andalus"/>
          <w:color w:val="000000"/>
          <w:kern w:val="3"/>
          <w:sz w:val="24"/>
          <w:szCs w:val="24"/>
          <w:lang w:val="it-IT" w:bidi="en-US"/>
        </w:rPr>
        <w:t>il provvedimento ex art. 1 comma 612 della legge 190/2015 di cui costituisce un aggiornamento.</w:t>
      </w:r>
    </w:p>
    <w:p w:rsidR="00B42ACA" w:rsidRDefault="00B42ACA" w:rsidP="008E5854">
      <w:pPr>
        <w:tabs>
          <w:tab w:val="left" w:pos="0"/>
        </w:tabs>
        <w:suppressAutoHyphens/>
        <w:autoSpaceDN w:val="0"/>
        <w:ind w:firstLine="567"/>
        <w:jc w:val="both"/>
        <w:textAlignment w:val="baseline"/>
        <w:rPr>
          <w:rFonts w:eastAsia="Calibri"/>
          <w:bCs/>
          <w:iCs/>
          <w:color w:val="000000"/>
          <w:kern w:val="3"/>
          <w:sz w:val="16"/>
          <w:szCs w:val="16"/>
          <w:lang w:val="it-IT" w:bidi="en-US"/>
        </w:rPr>
      </w:pPr>
    </w:p>
    <w:p w:rsidR="008E5854" w:rsidRPr="005E36C6" w:rsidRDefault="008E5854" w:rsidP="005E36C6">
      <w:pPr>
        <w:tabs>
          <w:tab w:val="left" w:pos="0"/>
        </w:tabs>
        <w:suppressAutoHyphens/>
        <w:autoSpaceDN w:val="0"/>
        <w:spacing w:after="120"/>
        <w:ind w:firstLine="567"/>
        <w:jc w:val="both"/>
        <w:textAlignment w:val="baseline"/>
        <w:rPr>
          <w:rFonts w:ascii="Andalus" w:eastAsia="Lucida Sans Unicode" w:hAnsi="Andalus" w:cs="Andalus"/>
          <w:b/>
          <w:color w:val="000000"/>
          <w:kern w:val="3"/>
          <w:sz w:val="24"/>
          <w:szCs w:val="24"/>
          <w:u w:val="single"/>
          <w:lang w:val="it-IT" w:bidi="en-US"/>
        </w:rPr>
      </w:pPr>
      <w:r w:rsidRPr="005E36C6">
        <w:rPr>
          <w:rFonts w:ascii="Andalus" w:eastAsia="Lucida Sans Unicode" w:hAnsi="Andalus" w:cs="Andalus"/>
          <w:b/>
          <w:color w:val="000000"/>
          <w:kern w:val="3"/>
          <w:sz w:val="24"/>
          <w:szCs w:val="24"/>
          <w:u w:val="single"/>
          <w:lang w:val="it-IT" w:bidi="en-US"/>
        </w:rPr>
        <w:t xml:space="preserve">Le partecipazioni societarie prese in considerazione </w:t>
      </w:r>
    </w:p>
    <w:p w:rsidR="008E5854" w:rsidRPr="005E36C6" w:rsidRDefault="008E5854" w:rsidP="005E36C6">
      <w:pPr>
        <w:tabs>
          <w:tab w:val="left" w:pos="0"/>
        </w:tabs>
        <w:suppressAutoHyphens/>
        <w:autoSpaceDN w:val="0"/>
        <w:spacing w:after="120"/>
        <w:jc w:val="both"/>
        <w:textAlignment w:val="baseline"/>
        <w:rPr>
          <w:rFonts w:ascii="Andalus" w:eastAsia="Calibri" w:hAnsi="Andalus" w:cs="Andalus"/>
          <w:bCs/>
          <w:iCs/>
          <w:color w:val="000000"/>
          <w:kern w:val="3"/>
          <w:sz w:val="24"/>
          <w:szCs w:val="24"/>
          <w:lang w:val="it-IT" w:bidi="en-US"/>
        </w:rPr>
      </w:pPr>
    </w:p>
    <w:p w:rsidR="008E5854" w:rsidRPr="005E36C6" w:rsidRDefault="008E5854" w:rsidP="005E36C6">
      <w:pPr>
        <w:tabs>
          <w:tab w:val="left" w:pos="0"/>
        </w:tabs>
        <w:suppressAutoHyphens/>
        <w:autoSpaceDN w:val="0"/>
        <w:spacing w:after="120"/>
        <w:ind w:firstLine="567"/>
        <w:jc w:val="both"/>
        <w:textAlignment w:val="baseline"/>
        <w:rPr>
          <w:rFonts w:ascii="Andalus" w:eastAsia="Calibri" w:hAnsi="Andalus" w:cs="Andalus"/>
          <w:bCs/>
          <w:iCs/>
          <w:color w:val="000000"/>
          <w:kern w:val="3"/>
          <w:sz w:val="24"/>
          <w:szCs w:val="24"/>
          <w:lang w:val="it-IT" w:bidi="en-US"/>
        </w:rPr>
      </w:pPr>
      <w:r w:rsidRPr="005E36C6">
        <w:rPr>
          <w:rFonts w:ascii="Andalus" w:eastAsia="Calibri" w:hAnsi="Andalus" w:cs="Andalus"/>
          <w:bCs/>
          <w:iCs/>
          <w:color w:val="000000"/>
          <w:kern w:val="3"/>
          <w:sz w:val="24"/>
          <w:szCs w:val="24"/>
          <w:lang w:val="it-IT" w:bidi="en-US"/>
        </w:rPr>
        <w:t>Il primo aspetto analizzato è stato quello di definire i</w:t>
      </w:r>
      <w:r w:rsidR="00D4205B">
        <w:rPr>
          <w:rFonts w:ascii="Andalus" w:eastAsia="Calibri" w:hAnsi="Andalus" w:cs="Andalus"/>
          <w:bCs/>
          <w:iCs/>
          <w:color w:val="000000"/>
          <w:kern w:val="3"/>
          <w:sz w:val="24"/>
          <w:szCs w:val="24"/>
          <w:lang w:val="it-IT" w:bidi="en-US"/>
        </w:rPr>
        <w:t>l</w:t>
      </w:r>
      <w:r w:rsidRPr="005E36C6">
        <w:rPr>
          <w:rFonts w:ascii="Andalus" w:eastAsia="Calibri" w:hAnsi="Andalus" w:cs="Andalus"/>
          <w:bCs/>
          <w:iCs/>
          <w:color w:val="000000"/>
          <w:kern w:val="3"/>
          <w:sz w:val="24"/>
          <w:szCs w:val="24"/>
          <w:lang w:val="it-IT" w:bidi="en-US"/>
        </w:rPr>
        <w:t xml:space="preserve"> cosiddetto “perimetro delle società” da considerare all’interno del Piano di razionalizzazione. </w:t>
      </w:r>
    </w:p>
    <w:p w:rsidR="008E5854" w:rsidRPr="005E36C6" w:rsidRDefault="008E5854" w:rsidP="005E36C6">
      <w:pPr>
        <w:tabs>
          <w:tab w:val="left" w:pos="0"/>
        </w:tabs>
        <w:suppressAutoHyphens/>
        <w:autoSpaceDN w:val="0"/>
        <w:spacing w:after="120"/>
        <w:ind w:firstLine="567"/>
        <w:jc w:val="both"/>
        <w:textAlignment w:val="baseline"/>
        <w:rPr>
          <w:rFonts w:ascii="Andalus" w:eastAsia="Calibri" w:hAnsi="Andalus" w:cs="Andalus"/>
          <w:bCs/>
          <w:iCs/>
          <w:color w:val="000000"/>
          <w:kern w:val="3"/>
          <w:sz w:val="24"/>
          <w:szCs w:val="24"/>
          <w:lang w:val="it-IT" w:bidi="en-US"/>
        </w:rPr>
      </w:pPr>
      <w:r w:rsidRPr="005E36C6">
        <w:rPr>
          <w:rFonts w:ascii="Andalus" w:eastAsia="Calibri" w:hAnsi="Andalus" w:cs="Andalus"/>
          <w:bCs/>
          <w:iCs/>
          <w:color w:val="000000"/>
          <w:kern w:val="3"/>
          <w:sz w:val="24"/>
          <w:szCs w:val="24"/>
          <w:lang w:val="it-IT" w:bidi="en-US"/>
        </w:rPr>
        <w:t xml:space="preserve">A riguardo si fa presente che i soggetti passivi coinvolti sono individuati dal legislatore che li circoscrive a </w:t>
      </w:r>
      <w:r w:rsidRPr="005E36C6">
        <w:rPr>
          <w:rFonts w:ascii="Andalus" w:eastAsia="Calibri" w:hAnsi="Andalus" w:cs="Andalus"/>
          <w:bCs/>
          <w:i/>
          <w:iCs/>
          <w:color w:val="000000"/>
          <w:kern w:val="3"/>
          <w:sz w:val="24"/>
          <w:szCs w:val="24"/>
          <w:lang w:val="it-IT" w:bidi="en-US"/>
        </w:rPr>
        <w:t>tutte le</w:t>
      </w:r>
      <w:r w:rsidR="008B6033">
        <w:rPr>
          <w:rFonts w:ascii="Andalus" w:eastAsia="Calibri" w:hAnsi="Andalus" w:cs="Andalus"/>
          <w:bCs/>
          <w:i/>
          <w:iCs/>
          <w:color w:val="000000"/>
          <w:kern w:val="3"/>
          <w:sz w:val="24"/>
          <w:szCs w:val="24"/>
          <w:lang w:val="it-IT" w:bidi="en-US"/>
        </w:rPr>
        <w:t xml:space="preserve"> </w:t>
      </w:r>
      <w:r w:rsidRPr="005E36C6">
        <w:rPr>
          <w:rFonts w:ascii="Andalus" w:eastAsia="Calibri" w:hAnsi="Andalus" w:cs="Andalus"/>
          <w:bCs/>
          <w:i/>
          <w:iCs/>
          <w:color w:val="000000"/>
          <w:kern w:val="3"/>
          <w:sz w:val="24"/>
          <w:szCs w:val="24"/>
          <w:lang w:val="it-IT" w:bidi="en-US"/>
        </w:rPr>
        <w:t>società partecipate direttamente o indirettamente dalle A.P</w:t>
      </w:r>
      <w:r w:rsidRPr="005E36C6">
        <w:rPr>
          <w:rFonts w:ascii="Andalus" w:eastAsia="Calibri" w:hAnsi="Andalus" w:cs="Andalus"/>
          <w:bCs/>
          <w:iCs/>
          <w:color w:val="000000"/>
          <w:kern w:val="3"/>
          <w:sz w:val="24"/>
          <w:szCs w:val="24"/>
          <w:lang w:val="it-IT" w:bidi="en-US"/>
        </w:rPr>
        <w:t xml:space="preserve">. Come può facilmente comprendersi dalla lettura anche delle definizioni fornite dal </w:t>
      </w:r>
      <w:hyperlink r:id="rId24" w:tgtFrame="BT" w:history="1">
        <w:hyperlink r:id="rId25" w:tgtFrame="BT" w:history="1">
          <w:r w:rsidRPr="005E36C6">
            <w:rPr>
              <w:rStyle w:val="Collegamentoipertestuale"/>
              <w:rFonts w:ascii="Andalus" w:eastAsia="Calibri" w:hAnsi="Andalus" w:cs="Andalus"/>
              <w:bCs/>
              <w:iCs/>
              <w:color w:val="auto"/>
              <w:kern w:val="3"/>
              <w:sz w:val="24"/>
              <w:szCs w:val="24"/>
              <w:lang w:val="it-IT" w:bidi="en-US"/>
            </w:rPr>
            <w:t>TUSP</w:t>
          </w:r>
        </w:hyperlink>
      </w:hyperlink>
      <w:r w:rsidRPr="005E36C6">
        <w:rPr>
          <w:rFonts w:ascii="Andalus" w:eastAsia="Calibri" w:hAnsi="Andalus" w:cs="Andalus"/>
          <w:bCs/>
          <w:iCs/>
          <w:color w:val="000000"/>
          <w:kern w:val="3"/>
          <w:sz w:val="24"/>
          <w:szCs w:val="24"/>
          <w:lang w:val="it-IT" w:bidi="en-US"/>
        </w:rPr>
        <w:t xml:space="preserve"> nell’articolo 2 dello stesso decreto legislativo il campo delle società prese in considerazione è particolarmente ampio .</w:t>
      </w:r>
    </w:p>
    <w:p w:rsidR="008E5854" w:rsidRPr="005E36C6" w:rsidRDefault="008E5854" w:rsidP="005E36C6">
      <w:pPr>
        <w:tabs>
          <w:tab w:val="left" w:pos="0"/>
        </w:tabs>
        <w:suppressAutoHyphens/>
        <w:autoSpaceDN w:val="0"/>
        <w:spacing w:after="120"/>
        <w:ind w:firstLine="567"/>
        <w:jc w:val="both"/>
        <w:textAlignment w:val="baseline"/>
        <w:rPr>
          <w:rFonts w:ascii="Andalus" w:eastAsia="Calibri" w:hAnsi="Andalus" w:cs="Andalus"/>
          <w:color w:val="000000"/>
          <w:kern w:val="3"/>
          <w:sz w:val="24"/>
          <w:szCs w:val="24"/>
          <w:lang w:val="it-IT" w:bidi="en-US"/>
        </w:rPr>
      </w:pPr>
      <w:r w:rsidRPr="005E36C6">
        <w:rPr>
          <w:rFonts w:ascii="Andalus" w:eastAsia="Calibri" w:hAnsi="Andalus" w:cs="Andalus"/>
          <w:color w:val="000000"/>
          <w:kern w:val="3"/>
          <w:sz w:val="24"/>
          <w:szCs w:val="24"/>
          <w:lang w:val="it-IT" w:bidi="en-US"/>
        </w:rPr>
        <w:t>Dalla lettura combinata dell’articolo 24 e dell’articolo 2 si evince che le società interessate dalla ricognizione possono essere ricondotte a tutte le società partecipate dalla Pubblica amministrazione.</w:t>
      </w:r>
    </w:p>
    <w:p w:rsidR="008E5854" w:rsidRPr="005E36C6" w:rsidRDefault="008E5854" w:rsidP="005E36C6">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5E36C6">
        <w:rPr>
          <w:rFonts w:ascii="Andalus" w:eastAsia="Calibri" w:hAnsi="Andalus" w:cs="Andalus"/>
          <w:color w:val="000000"/>
          <w:kern w:val="3"/>
          <w:sz w:val="24"/>
          <w:szCs w:val="24"/>
          <w:lang w:val="it-IT" w:bidi="en-US"/>
        </w:rPr>
        <w:t xml:space="preserve">Con riferimento alle “partecipazioni indirette” inoltre, </w:t>
      </w:r>
      <w:r w:rsidRPr="005E36C6">
        <w:rPr>
          <w:rFonts w:ascii="Andalus" w:eastAsia="Lucida Sans Unicode" w:hAnsi="Andalus" w:cs="Andalus"/>
          <w:color w:val="000000"/>
          <w:kern w:val="3"/>
          <w:sz w:val="24"/>
          <w:szCs w:val="24"/>
          <w:lang w:val="it-IT" w:bidi="en-US"/>
        </w:rPr>
        <w:t xml:space="preserve">ai sensi del </w:t>
      </w:r>
      <w:hyperlink r:id="rId26" w:tgtFrame="BT" w:history="1">
        <w:hyperlink r:id="rId27" w:tgtFrame="BT" w:history="1">
          <w:r w:rsidRPr="005E36C6">
            <w:rPr>
              <w:rStyle w:val="Collegamentoipertestuale"/>
              <w:rFonts w:ascii="Andalus" w:eastAsia="Lucida Sans Unicode" w:hAnsi="Andalus" w:cs="Andalus"/>
              <w:color w:val="auto"/>
              <w:kern w:val="3"/>
              <w:sz w:val="24"/>
              <w:szCs w:val="24"/>
              <w:lang w:val="it-IT" w:bidi="en-US"/>
            </w:rPr>
            <w:t>T.U.P.S.</w:t>
          </w:r>
        </w:hyperlink>
      </w:hyperlink>
      <w:r w:rsidRPr="005E36C6">
        <w:rPr>
          <w:rFonts w:ascii="Andalus" w:eastAsia="Lucida Sans Unicode" w:hAnsi="Andalus" w:cs="Andalus"/>
          <w:color w:val="000000"/>
          <w:kern w:val="3"/>
          <w:sz w:val="24"/>
          <w:szCs w:val="24"/>
          <w:lang w:val="it-IT" w:bidi="en-US"/>
        </w:rPr>
        <w:t xml:space="preserve">sono oggetto di revisione straordinaria quelle partecipazioni, di qualsiasi livello, che siano detenute, al 23 settembre 2016, attraverso una “tramite” di controllo, con esclusione di quelle detenute indirettamente attraverso una società “quotata” come definita dall’art. 2, comma 1, lettera p) del T.U. (società che emette azioni quotate o che ha emesso, alla data del 31 dicembre 2015, strumenti finanziari, diversi da azioni, quotati in mercati regolamentati). </w:t>
      </w:r>
    </w:p>
    <w:p w:rsidR="008E5854" w:rsidRPr="005E36C6" w:rsidRDefault="008E5854" w:rsidP="005E36C6">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5E36C6">
        <w:rPr>
          <w:rFonts w:ascii="Andalus" w:eastAsia="Lucida Sans Unicode" w:hAnsi="Andalus" w:cs="Andalus"/>
          <w:color w:val="000000"/>
          <w:kern w:val="3"/>
          <w:sz w:val="24"/>
          <w:szCs w:val="24"/>
          <w:lang w:val="it-IT" w:bidi="en-US"/>
        </w:rPr>
        <w:t xml:space="preserve">Nel caso in cui la “tramite” non sia controllata dalla pubblica amministrazione, le eventuali partecipazioni detenute da questa non sono oggetto di revisione straordinaria. </w:t>
      </w:r>
    </w:p>
    <w:p w:rsidR="007E6F61" w:rsidRPr="005E36C6" w:rsidRDefault="007E6F61" w:rsidP="005E36C6">
      <w:pPr>
        <w:tabs>
          <w:tab w:val="left" w:pos="0"/>
        </w:tabs>
        <w:suppressAutoHyphens/>
        <w:autoSpaceDN w:val="0"/>
        <w:spacing w:after="120"/>
        <w:textAlignment w:val="baseline"/>
        <w:rPr>
          <w:rFonts w:ascii="Andalus" w:hAnsi="Andalus" w:cs="Andalus"/>
          <w:b/>
          <w:bCs/>
          <w:sz w:val="24"/>
          <w:szCs w:val="24"/>
          <w:lang w:val="it-IT"/>
        </w:rPr>
      </w:pPr>
    </w:p>
    <w:p w:rsidR="007E6F61" w:rsidRPr="005E36C6" w:rsidRDefault="007E6F61" w:rsidP="005E36C6">
      <w:pPr>
        <w:tabs>
          <w:tab w:val="left" w:pos="0"/>
        </w:tabs>
        <w:suppressAutoHyphens/>
        <w:autoSpaceDN w:val="0"/>
        <w:spacing w:after="120"/>
        <w:textAlignment w:val="baseline"/>
        <w:rPr>
          <w:rFonts w:ascii="Andalus" w:hAnsi="Andalus" w:cs="Andalus"/>
          <w:b/>
          <w:bCs/>
          <w:sz w:val="24"/>
          <w:szCs w:val="24"/>
          <w:lang w:val="it-IT"/>
        </w:rPr>
      </w:pPr>
      <w:r w:rsidRPr="005E36C6">
        <w:rPr>
          <w:rFonts w:ascii="Andalus" w:hAnsi="Andalus" w:cs="Andalus"/>
          <w:b/>
          <w:bCs/>
          <w:sz w:val="24"/>
          <w:szCs w:val="24"/>
          <w:lang w:val="it-IT"/>
        </w:rPr>
        <w:t>RICOGNIZIONE DELLE SOCIETÀ PARTECIPATE DIRETTAMENTE</w:t>
      </w:r>
    </w:p>
    <w:p w:rsidR="007E6F61" w:rsidRPr="005E36C6" w:rsidRDefault="007E6F61" w:rsidP="005E36C6">
      <w:pPr>
        <w:tabs>
          <w:tab w:val="left" w:pos="0"/>
        </w:tabs>
        <w:suppressAutoHyphens/>
        <w:autoSpaceDN w:val="0"/>
        <w:spacing w:after="120"/>
        <w:jc w:val="both"/>
        <w:textAlignment w:val="baseline"/>
        <w:rPr>
          <w:rFonts w:ascii="Andalus" w:eastAsia="Lucida Sans Unicode" w:hAnsi="Andalus" w:cs="Andalus"/>
          <w:kern w:val="3"/>
          <w:sz w:val="24"/>
          <w:szCs w:val="24"/>
          <w:lang w:val="it-IT" w:bidi="en-US"/>
        </w:rPr>
      </w:pPr>
      <w:r w:rsidRPr="005E36C6">
        <w:rPr>
          <w:rFonts w:ascii="Andalus" w:eastAsia="Lucida Sans Unicode" w:hAnsi="Andalus" w:cs="Andalus"/>
          <w:kern w:val="3"/>
          <w:sz w:val="24"/>
          <w:szCs w:val="24"/>
          <w:lang w:val="it-IT" w:bidi="en-US"/>
        </w:rPr>
        <w:t>Con riferimento alle società partecipate direttamente è da precisare che dall’esame rientra nella fattispecie :</w:t>
      </w:r>
    </w:p>
    <w:p w:rsidR="007E6F61" w:rsidRPr="005E36C6" w:rsidRDefault="007E6F61" w:rsidP="00684C28">
      <w:pPr>
        <w:pStyle w:val="Nessunaspaziatura"/>
        <w:numPr>
          <w:ilvl w:val="0"/>
          <w:numId w:val="15"/>
        </w:numPr>
        <w:spacing w:after="120"/>
        <w:rPr>
          <w:rFonts w:ascii="Andalus" w:hAnsi="Andalus" w:cs="Andalus"/>
          <w:b/>
          <w:color w:val="auto"/>
          <w:sz w:val="24"/>
          <w:szCs w:val="24"/>
        </w:rPr>
      </w:pPr>
      <w:r w:rsidRPr="005E36C6">
        <w:rPr>
          <w:rFonts w:ascii="Andalus" w:hAnsi="Andalus" w:cs="Andalus"/>
          <w:b/>
          <w:color w:val="auto"/>
          <w:sz w:val="24"/>
          <w:szCs w:val="24"/>
          <w:u w:val="single"/>
        </w:rPr>
        <w:t>Società Consortile Rocca di Cerere</w:t>
      </w:r>
      <w:r w:rsidRPr="005E36C6">
        <w:rPr>
          <w:rFonts w:ascii="Andalus" w:hAnsi="Andalus" w:cs="Andalus"/>
          <w:b/>
          <w:color w:val="auto"/>
          <w:sz w:val="24"/>
          <w:szCs w:val="24"/>
        </w:rPr>
        <w:t xml:space="preserve">: </w:t>
      </w:r>
      <w:r w:rsidR="00700F8B">
        <w:rPr>
          <w:rFonts w:ascii="Andalus" w:hAnsi="Andalus" w:cs="Andalus"/>
          <w:b/>
          <w:color w:val="auto"/>
          <w:sz w:val="24"/>
          <w:szCs w:val="24"/>
        </w:rPr>
        <w:t>S</w:t>
      </w:r>
      <w:r w:rsidRPr="005E36C6">
        <w:rPr>
          <w:rFonts w:ascii="Andalus" w:hAnsi="Andalus" w:cs="Andalus"/>
          <w:b/>
          <w:color w:val="auto"/>
          <w:sz w:val="24"/>
          <w:szCs w:val="24"/>
        </w:rPr>
        <w:t>ocietà consortile costituita ai sensi degli artt. 2615/ter e 2462 e segg. Cc.</w:t>
      </w:r>
    </w:p>
    <w:p w:rsidR="007E6F61" w:rsidRPr="005E36C6" w:rsidRDefault="007E6F61" w:rsidP="005E36C6">
      <w:pPr>
        <w:spacing w:after="120"/>
        <w:rPr>
          <w:rFonts w:ascii="Andalus" w:hAnsi="Andalus" w:cs="Andalus"/>
          <w:b/>
          <w:bCs/>
          <w:sz w:val="24"/>
          <w:szCs w:val="24"/>
          <w:lang w:val="it-IT"/>
        </w:rPr>
      </w:pPr>
    </w:p>
    <w:p w:rsidR="0074721D" w:rsidRDefault="0074721D" w:rsidP="005E36C6">
      <w:pPr>
        <w:tabs>
          <w:tab w:val="left" w:pos="0"/>
        </w:tabs>
        <w:suppressAutoHyphens/>
        <w:autoSpaceDN w:val="0"/>
        <w:spacing w:after="120"/>
        <w:jc w:val="both"/>
        <w:textAlignment w:val="baseline"/>
        <w:rPr>
          <w:rFonts w:ascii="Andalus" w:eastAsia="Lucida Sans Unicode" w:hAnsi="Andalus" w:cs="Andalus"/>
          <w:kern w:val="3"/>
          <w:sz w:val="24"/>
          <w:szCs w:val="24"/>
          <w:lang w:val="it-IT" w:bidi="en-US"/>
        </w:rPr>
        <w:sectPr w:rsidR="0074721D" w:rsidSect="003B12E2">
          <w:pgSz w:w="11906" w:h="16838"/>
          <w:pgMar w:top="1417" w:right="1134" w:bottom="1134" w:left="1134" w:header="708" w:footer="708" w:gutter="0"/>
          <w:cols w:space="708"/>
          <w:titlePg/>
          <w:docGrid w:linePitch="360"/>
        </w:sectPr>
      </w:pPr>
    </w:p>
    <w:p w:rsidR="007E6F61" w:rsidRPr="006A654A" w:rsidRDefault="005F5B2D" w:rsidP="005E36C6">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6A654A">
        <w:rPr>
          <w:rFonts w:ascii="Andalus" w:hAnsi="Andalus" w:cs="Andalus"/>
          <w:b/>
          <w:bCs/>
          <w:sz w:val="24"/>
          <w:szCs w:val="24"/>
          <w:lang w:val="it-IT"/>
        </w:rPr>
        <w:lastRenderedPageBreak/>
        <w:t>RICOGNIZIONE DELLE SOCIETÀ PARTECIPATE DIRETTAMENTE</w:t>
      </w:r>
    </w:p>
    <w:tbl>
      <w:tblPr>
        <w:tblW w:w="15593" w:type="dxa"/>
        <w:tblInd w:w="-497" w:type="dxa"/>
        <w:tblLayout w:type="fixed"/>
        <w:tblCellMar>
          <w:left w:w="70" w:type="dxa"/>
          <w:right w:w="70" w:type="dxa"/>
        </w:tblCellMar>
        <w:tblLook w:val="04A0" w:firstRow="1" w:lastRow="0" w:firstColumn="1" w:lastColumn="0" w:noHBand="0" w:noVBand="1"/>
      </w:tblPr>
      <w:tblGrid>
        <w:gridCol w:w="851"/>
        <w:gridCol w:w="1559"/>
        <w:gridCol w:w="2126"/>
        <w:gridCol w:w="1276"/>
        <w:gridCol w:w="1134"/>
        <w:gridCol w:w="3402"/>
        <w:gridCol w:w="1701"/>
        <w:gridCol w:w="1134"/>
        <w:gridCol w:w="1276"/>
        <w:gridCol w:w="1134"/>
      </w:tblGrid>
      <w:tr w:rsidR="00A1799F" w:rsidRPr="00A1799F" w:rsidTr="004E4421">
        <w:trPr>
          <w:trHeight w:val="1484"/>
        </w:trPr>
        <w:tc>
          <w:tcPr>
            <w:tcW w:w="85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8B16D7" w:rsidRPr="008B16D7" w:rsidRDefault="008B16D7" w:rsidP="008B16D7">
            <w:pPr>
              <w:jc w:val="center"/>
              <w:rPr>
                <w:rFonts w:asciiTheme="majorHAnsi" w:hAnsiTheme="majorHAnsi" w:cs="Andalus"/>
                <w:b/>
                <w:bCs/>
                <w:sz w:val="20"/>
                <w:szCs w:val="20"/>
              </w:rPr>
            </w:pPr>
            <w:r w:rsidRPr="008B16D7">
              <w:rPr>
                <w:rFonts w:asciiTheme="majorHAnsi" w:hAnsiTheme="majorHAnsi" w:cs="Andalus"/>
                <w:b/>
                <w:bCs/>
                <w:sz w:val="20"/>
                <w:szCs w:val="20"/>
              </w:rPr>
              <w:t xml:space="preserve">Nr.   </w:t>
            </w:r>
          </w:p>
          <w:p w:rsidR="008E5854" w:rsidRPr="008B16D7" w:rsidRDefault="008E5854" w:rsidP="008B16D7">
            <w:pPr>
              <w:jc w:val="center"/>
              <w:rPr>
                <w:rFonts w:asciiTheme="majorHAnsi" w:hAnsiTheme="majorHAnsi" w:cs="Andalus"/>
                <w:b/>
                <w:bCs/>
                <w:sz w:val="20"/>
                <w:szCs w:val="20"/>
              </w:rPr>
            </w:pPr>
            <w:r w:rsidRPr="008B16D7">
              <w:rPr>
                <w:rFonts w:asciiTheme="majorHAnsi" w:hAnsiTheme="majorHAnsi" w:cs="Andalus"/>
                <w:b/>
                <w:bCs/>
                <w:sz w:val="20"/>
                <w:szCs w:val="20"/>
              </w:rPr>
              <w:t>Progr</w:t>
            </w:r>
            <w:r w:rsidR="008B16D7" w:rsidRPr="008B16D7">
              <w:rPr>
                <w:rFonts w:asciiTheme="majorHAnsi" w:hAnsiTheme="majorHAnsi" w:cs="Andalus"/>
                <w:b/>
                <w:bCs/>
                <w:sz w:val="20"/>
                <w:szCs w:val="20"/>
              </w:rPr>
              <w:t>.</w:t>
            </w:r>
          </w:p>
        </w:tc>
        <w:tc>
          <w:tcPr>
            <w:tcW w:w="1559"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Codice fiscale società</w:t>
            </w:r>
          </w:p>
        </w:tc>
        <w:tc>
          <w:tcPr>
            <w:tcW w:w="2126"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 xml:space="preserve">Denominazione </w:t>
            </w:r>
            <w:r w:rsidRPr="00A1799F">
              <w:rPr>
                <w:rFonts w:asciiTheme="majorHAnsi" w:hAnsiTheme="majorHAnsi" w:cs="Andalus"/>
                <w:b/>
                <w:bCs/>
              </w:rPr>
              <w:br/>
              <w:t>società</w:t>
            </w:r>
          </w:p>
        </w:tc>
        <w:tc>
          <w:tcPr>
            <w:tcW w:w="1276"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 xml:space="preserve">Anno di </w:t>
            </w:r>
            <w:r w:rsidRPr="00A1799F">
              <w:rPr>
                <w:rFonts w:asciiTheme="majorHAnsi" w:hAnsiTheme="majorHAnsi" w:cs="Andalus"/>
                <w:b/>
                <w:bCs/>
              </w:rPr>
              <w:br/>
              <w:t>costitu-</w:t>
            </w:r>
            <w:r w:rsidRPr="00A1799F">
              <w:rPr>
                <w:rFonts w:asciiTheme="majorHAnsi" w:hAnsiTheme="majorHAnsi" w:cs="Andalus"/>
                <w:b/>
                <w:bCs/>
              </w:rPr>
              <w:br/>
              <w:t>zione</w:t>
            </w:r>
          </w:p>
        </w:tc>
        <w:tc>
          <w:tcPr>
            <w:tcW w:w="1134"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A1799F">
            <w:pPr>
              <w:jc w:val="center"/>
              <w:rPr>
                <w:rFonts w:asciiTheme="majorHAnsi" w:hAnsiTheme="majorHAnsi" w:cs="Andalus"/>
                <w:b/>
                <w:bCs/>
              </w:rPr>
            </w:pPr>
            <w:r w:rsidRPr="00A1799F">
              <w:rPr>
                <w:rFonts w:asciiTheme="majorHAnsi" w:hAnsiTheme="majorHAnsi" w:cs="Andalus"/>
                <w:b/>
                <w:bCs/>
              </w:rPr>
              <w:t xml:space="preserve">% Quota </w:t>
            </w:r>
            <w:r w:rsidR="00A1799F">
              <w:rPr>
                <w:rFonts w:asciiTheme="majorHAnsi" w:hAnsiTheme="majorHAnsi" w:cs="Andalus"/>
                <w:b/>
                <w:bCs/>
              </w:rPr>
              <w:t>di</w:t>
            </w:r>
            <w:r w:rsidR="00A1799F">
              <w:rPr>
                <w:rFonts w:asciiTheme="majorHAnsi" w:hAnsiTheme="majorHAnsi" w:cs="Andalus"/>
                <w:b/>
                <w:bCs/>
              </w:rPr>
              <w:br/>
              <w:t>partecipa</w:t>
            </w:r>
            <w:r w:rsidRPr="00A1799F">
              <w:rPr>
                <w:rFonts w:asciiTheme="majorHAnsi" w:hAnsiTheme="majorHAnsi" w:cs="Andalus"/>
                <w:b/>
                <w:bCs/>
              </w:rPr>
              <w:t>zione</w:t>
            </w:r>
          </w:p>
        </w:tc>
        <w:tc>
          <w:tcPr>
            <w:tcW w:w="3402"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Attività svolta</w:t>
            </w:r>
          </w:p>
        </w:tc>
        <w:tc>
          <w:tcPr>
            <w:tcW w:w="1701"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BE3366">
            <w:pPr>
              <w:jc w:val="center"/>
              <w:rPr>
                <w:rFonts w:asciiTheme="majorHAnsi" w:hAnsiTheme="majorHAnsi" w:cs="Andalus"/>
                <w:b/>
                <w:bCs/>
              </w:rPr>
            </w:pPr>
            <w:r w:rsidRPr="00A1799F">
              <w:rPr>
                <w:rFonts w:asciiTheme="majorHAnsi" w:hAnsiTheme="majorHAnsi" w:cs="Andalus"/>
                <w:b/>
                <w:bCs/>
              </w:rPr>
              <w:t>Partecipazione di controllo</w:t>
            </w:r>
          </w:p>
        </w:tc>
        <w:tc>
          <w:tcPr>
            <w:tcW w:w="1134"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Società</w:t>
            </w:r>
            <w:r w:rsidRPr="00A1799F">
              <w:rPr>
                <w:rFonts w:asciiTheme="majorHAnsi" w:hAnsiTheme="majorHAnsi" w:cs="Andalus"/>
                <w:b/>
                <w:bCs/>
              </w:rPr>
              <w:br/>
              <w:t>in house</w:t>
            </w:r>
          </w:p>
        </w:tc>
        <w:tc>
          <w:tcPr>
            <w:tcW w:w="1276"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lang w:val="it-IT"/>
              </w:rPr>
            </w:pPr>
            <w:r w:rsidRPr="00A1799F">
              <w:rPr>
                <w:rFonts w:asciiTheme="majorHAnsi" w:hAnsiTheme="majorHAnsi" w:cs="Andalus"/>
                <w:b/>
                <w:bCs/>
                <w:lang w:val="it-IT"/>
              </w:rPr>
              <w:t>Quotata</w:t>
            </w:r>
            <w:r w:rsidRPr="00A1799F">
              <w:rPr>
                <w:rFonts w:asciiTheme="majorHAnsi" w:hAnsiTheme="majorHAnsi" w:cs="Andalus"/>
                <w:b/>
                <w:bCs/>
                <w:lang w:val="it-IT"/>
              </w:rPr>
              <w:br/>
              <w:t xml:space="preserve">(ai sensi </w:t>
            </w:r>
            <w:r w:rsidRPr="00A1799F">
              <w:rPr>
                <w:rFonts w:asciiTheme="majorHAnsi" w:hAnsiTheme="majorHAnsi" w:cs="Andalus"/>
                <w:b/>
                <w:bCs/>
                <w:lang w:val="it-IT"/>
              </w:rPr>
              <w:br/>
              <w:t>del D.Lgs.</w:t>
            </w:r>
            <w:r w:rsidRPr="00A1799F">
              <w:rPr>
                <w:rFonts w:asciiTheme="majorHAnsi" w:hAnsiTheme="majorHAnsi" w:cs="Andalus"/>
                <w:b/>
                <w:bCs/>
                <w:lang w:val="it-IT"/>
              </w:rPr>
              <w:br/>
              <w:t>n. 175/2016)</w:t>
            </w:r>
          </w:p>
        </w:tc>
        <w:tc>
          <w:tcPr>
            <w:tcW w:w="1134"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A1799F" w:rsidRDefault="008E5854" w:rsidP="00716BA6">
            <w:pPr>
              <w:jc w:val="center"/>
              <w:rPr>
                <w:rFonts w:asciiTheme="majorHAnsi" w:hAnsiTheme="majorHAnsi" w:cs="Andalus"/>
                <w:b/>
                <w:bCs/>
              </w:rPr>
            </w:pPr>
            <w:r w:rsidRPr="00A1799F">
              <w:rPr>
                <w:rFonts w:asciiTheme="majorHAnsi" w:hAnsiTheme="majorHAnsi" w:cs="Andalus"/>
                <w:b/>
                <w:bCs/>
              </w:rPr>
              <w:t>Holding pura</w:t>
            </w:r>
          </w:p>
        </w:tc>
      </w:tr>
      <w:tr w:rsidR="00A1799F" w:rsidRPr="00A1799F" w:rsidTr="004E4421">
        <w:trPr>
          <w:trHeight w:val="285"/>
        </w:trPr>
        <w:tc>
          <w:tcPr>
            <w:tcW w:w="851"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A</w:t>
            </w:r>
          </w:p>
        </w:tc>
        <w:tc>
          <w:tcPr>
            <w:tcW w:w="1559"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B</w:t>
            </w:r>
          </w:p>
        </w:tc>
        <w:tc>
          <w:tcPr>
            <w:tcW w:w="2126"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C</w:t>
            </w:r>
          </w:p>
        </w:tc>
        <w:tc>
          <w:tcPr>
            <w:tcW w:w="1276"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D</w:t>
            </w:r>
          </w:p>
        </w:tc>
        <w:tc>
          <w:tcPr>
            <w:tcW w:w="11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E</w:t>
            </w:r>
          </w:p>
        </w:tc>
        <w:tc>
          <w:tcPr>
            <w:tcW w:w="3402"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F</w:t>
            </w:r>
          </w:p>
        </w:tc>
        <w:tc>
          <w:tcPr>
            <w:tcW w:w="1701"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G</w:t>
            </w:r>
          </w:p>
        </w:tc>
        <w:tc>
          <w:tcPr>
            <w:tcW w:w="11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H</w:t>
            </w:r>
          </w:p>
        </w:tc>
        <w:tc>
          <w:tcPr>
            <w:tcW w:w="1276"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I</w:t>
            </w:r>
          </w:p>
        </w:tc>
        <w:tc>
          <w:tcPr>
            <w:tcW w:w="11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4E4421" w:rsidRDefault="008E5854" w:rsidP="00716BA6">
            <w:pPr>
              <w:jc w:val="center"/>
              <w:rPr>
                <w:rFonts w:asciiTheme="majorHAnsi" w:hAnsiTheme="majorHAnsi" w:cs="Andalus"/>
                <w:bCs/>
              </w:rPr>
            </w:pPr>
            <w:r w:rsidRPr="004E4421">
              <w:rPr>
                <w:rFonts w:asciiTheme="majorHAnsi" w:hAnsiTheme="majorHAnsi" w:cs="Andalus"/>
                <w:bCs/>
              </w:rPr>
              <w:t>J</w:t>
            </w:r>
          </w:p>
        </w:tc>
      </w:tr>
      <w:tr w:rsidR="00C31639" w:rsidRPr="00A1799F" w:rsidTr="00684C28">
        <w:trPr>
          <w:trHeight w:val="2769"/>
        </w:trPr>
        <w:tc>
          <w:tcPr>
            <w:tcW w:w="851" w:type="dxa"/>
            <w:tcBorders>
              <w:top w:val="nil"/>
              <w:left w:val="single" w:sz="4" w:space="0" w:color="auto"/>
              <w:bottom w:val="single" w:sz="4" w:space="0" w:color="auto"/>
              <w:right w:val="single" w:sz="4" w:space="0" w:color="auto"/>
            </w:tcBorders>
            <w:shd w:val="clear" w:color="auto" w:fill="FFFFFF"/>
            <w:vAlign w:val="center"/>
            <w:hideMark/>
          </w:tcPr>
          <w:p w:rsidR="00C31639" w:rsidRPr="00A1799F" w:rsidRDefault="00684C28" w:rsidP="00684C28">
            <w:pPr>
              <w:jc w:val="center"/>
              <w:rPr>
                <w:rFonts w:asciiTheme="majorHAnsi" w:hAnsiTheme="majorHAnsi"/>
              </w:rPr>
            </w:pPr>
            <w:r>
              <w:rPr>
                <w:rFonts w:asciiTheme="majorHAnsi" w:hAnsiTheme="majorHAnsi"/>
              </w:rPr>
              <w:t>1</w:t>
            </w:r>
          </w:p>
        </w:tc>
        <w:tc>
          <w:tcPr>
            <w:tcW w:w="1559"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A1799F">
            <w:pPr>
              <w:spacing w:line="276" w:lineRule="auto"/>
              <w:jc w:val="both"/>
              <w:rPr>
                <w:rFonts w:asciiTheme="majorHAnsi" w:hAnsiTheme="majorHAnsi"/>
              </w:rPr>
            </w:pPr>
            <w:r w:rsidRPr="00A1799F">
              <w:rPr>
                <w:rFonts w:asciiTheme="majorHAnsi" w:hAnsiTheme="majorHAnsi" w:cs="Andalus"/>
                <w:lang w:val="it-IT"/>
              </w:rPr>
              <w:t>00667240865</w:t>
            </w:r>
            <w:r w:rsidRPr="00A1799F">
              <w:rPr>
                <w:rFonts w:asciiTheme="majorHAnsi" w:hAnsiTheme="majorHAnsi"/>
              </w:rPr>
              <w:t> </w:t>
            </w:r>
          </w:p>
        </w:tc>
        <w:tc>
          <w:tcPr>
            <w:tcW w:w="2126"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A1799F">
            <w:pPr>
              <w:spacing w:line="276" w:lineRule="auto"/>
              <w:rPr>
                <w:rFonts w:asciiTheme="majorHAnsi" w:hAnsiTheme="majorHAnsi"/>
                <w:lang w:val="it-IT"/>
              </w:rPr>
            </w:pPr>
            <w:r w:rsidRPr="00A1799F">
              <w:rPr>
                <w:rFonts w:asciiTheme="majorHAnsi" w:hAnsiTheme="majorHAnsi" w:cs="Andalus"/>
                <w:lang w:val="it-IT"/>
              </w:rPr>
              <w:t>Società Consortile mista pubblico-privato a r.l. Rocca di Cerere</w:t>
            </w:r>
          </w:p>
        </w:tc>
        <w:tc>
          <w:tcPr>
            <w:tcW w:w="1276" w:type="dxa"/>
            <w:tcBorders>
              <w:top w:val="nil"/>
              <w:left w:val="nil"/>
              <w:bottom w:val="single" w:sz="4" w:space="0" w:color="auto"/>
              <w:right w:val="single" w:sz="4" w:space="0" w:color="auto"/>
            </w:tcBorders>
            <w:shd w:val="clear" w:color="auto" w:fill="FFFFFF"/>
            <w:vAlign w:val="center"/>
            <w:hideMark/>
          </w:tcPr>
          <w:p w:rsidR="00C31639" w:rsidRDefault="00C31639" w:rsidP="00716BA6">
            <w:pPr>
              <w:jc w:val="center"/>
              <w:rPr>
                <w:rFonts w:asciiTheme="majorHAnsi" w:hAnsiTheme="majorHAnsi"/>
                <w:sz w:val="20"/>
                <w:szCs w:val="20"/>
                <w:lang w:val="it-IT"/>
              </w:rPr>
            </w:pPr>
            <w:r w:rsidRPr="00A1799F">
              <w:rPr>
                <w:rFonts w:asciiTheme="majorHAnsi" w:hAnsiTheme="majorHAnsi"/>
                <w:sz w:val="20"/>
                <w:szCs w:val="20"/>
                <w:lang w:val="it-IT"/>
              </w:rPr>
              <w:t xml:space="preserve">29 </w:t>
            </w:r>
          </w:p>
          <w:p w:rsidR="00C31639" w:rsidRPr="00A1799F" w:rsidRDefault="00C31639" w:rsidP="00716BA6">
            <w:pPr>
              <w:jc w:val="center"/>
              <w:rPr>
                <w:rFonts w:asciiTheme="majorHAnsi" w:hAnsiTheme="majorHAnsi"/>
                <w:sz w:val="20"/>
                <w:szCs w:val="20"/>
                <w:lang w:val="it-IT"/>
              </w:rPr>
            </w:pPr>
            <w:r w:rsidRPr="00A1799F">
              <w:rPr>
                <w:rFonts w:asciiTheme="majorHAnsi" w:hAnsiTheme="majorHAnsi"/>
                <w:sz w:val="20"/>
                <w:szCs w:val="20"/>
                <w:lang w:val="it-IT"/>
              </w:rPr>
              <w:t>Ottobre 1998 </w:t>
            </w:r>
          </w:p>
        </w:tc>
        <w:tc>
          <w:tcPr>
            <w:tcW w:w="1134" w:type="dxa"/>
            <w:tcBorders>
              <w:top w:val="nil"/>
              <w:left w:val="nil"/>
              <w:bottom w:val="single" w:sz="4" w:space="0" w:color="auto"/>
              <w:right w:val="single" w:sz="4" w:space="0" w:color="auto"/>
            </w:tcBorders>
            <w:shd w:val="clear" w:color="auto" w:fill="FFFFFF"/>
            <w:vAlign w:val="center"/>
            <w:hideMark/>
          </w:tcPr>
          <w:p w:rsidR="00C31639" w:rsidRPr="00A1799F" w:rsidRDefault="00684C28" w:rsidP="00A1799F">
            <w:pPr>
              <w:jc w:val="center"/>
              <w:rPr>
                <w:rFonts w:asciiTheme="majorHAnsi" w:hAnsiTheme="majorHAnsi"/>
                <w:lang w:val="it-IT"/>
              </w:rPr>
            </w:pPr>
            <w:r>
              <w:rPr>
                <w:rFonts w:asciiTheme="majorHAnsi" w:hAnsiTheme="majorHAnsi" w:cs="Andalus"/>
                <w:lang w:val="it-IT"/>
              </w:rPr>
              <w:t>……</w:t>
            </w:r>
            <w:r w:rsidR="00C31639">
              <w:rPr>
                <w:rFonts w:asciiTheme="majorHAnsi" w:hAnsiTheme="majorHAnsi" w:cs="Andalus"/>
                <w:lang w:val="it-IT"/>
              </w:rPr>
              <w:t>%</w:t>
            </w:r>
          </w:p>
        </w:tc>
        <w:tc>
          <w:tcPr>
            <w:tcW w:w="3402"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716BA6">
            <w:pPr>
              <w:rPr>
                <w:rFonts w:asciiTheme="majorHAnsi" w:hAnsiTheme="majorHAnsi"/>
                <w:lang w:val="it-IT"/>
              </w:rPr>
            </w:pPr>
            <w:r w:rsidRPr="00A1799F">
              <w:rPr>
                <w:rFonts w:asciiTheme="majorHAnsi" w:hAnsiTheme="majorHAnsi"/>
                <w:lang w:val="it-IT"/>
              </w:rPr>
              <w:t> </w:t>
            </w:r>
            <w:r w:rsidRPr="00A1799F">
              <w:rPr>
                <w:rFonts w:asciiTheme="majorHAnsi" w:hAnsiTheme="majorHAnsi" w:cs="Andalus"/>
                <w:lang w:val="it-IT"/>
              </w:rPr>
              <w:t>promozione, sviluppo e  territori</w:t>
            </w:r>
          </w:p>
        </w:tc>
        <w:tc>
          <w:tcPr>
            <w:tcW w:w="1701" w:type="dxa"/>
            <w:tcBorders>
              <w:top w:val="nil"/>
              <w:left w:val="nil"/>
              <w:bottom w:val="single" w:sz="4" w:space="0" w:color="auto"/>
              <w:right w:val="single" w:sz="4" w:space="0" w:color="auto"/>
            </w:tcBorders>
            <w:shd w:val="clear" w:color="auto" w:fill="FFFFFF"/>
            <w:vAlign w:val="center"/>
            <w:hideMark/>
          </w:tcPr>
          <w:p w:rsidR="00C31639" w:rsidRPr="00A1799F" w:rsidRDefault="00684C28" w:rsidP="00A1799F">
            <w:pPr>
              <w:jc w:val="center"/>
              <w:rPr>
                <w:rFonts w:asciiTheme="majorHAnsi" w:hAnsiTheme="majorHAnsi"/>
                <w:lang w:val="it-IT"/>
              </w:rPr>
            </w:pPr>
            <w:r>
              <w:rPr>
                <w:rFonts w:asciiTheme="majorHAnsi" w:hAnsiTheme="majorHAnsi" w:cs="Andalus"/>
                <w:lang w:val="it-IT"/>
              </w:rPr>
              <w:t>……..</w:t>
            </w:r>
            <w:r w:rsidR="00C31639" w:rsidRPr="00A1799F">
              <w:rPr>
                <w:rFonts w:asciiTheme="majorHAnsi" w:hAnsiTheme="majorHAnsi" w:cs="Andalus"/>
                <w:lang w:val="it-IT"/>
              </w:rPr>
              <w:t>%</w:t>
            </w:r>
            <w:r w:rsidR="00C31639" w:rsidRPr="00A1799F">
              <w:rPr>
                <w:rFonts w:asciiTheme="majorHAnsi" w:hAnsiTheme="majorHAnsi"/>
                <w:lang w:val="it-IT"/>
              </w:rPr>
              <w:t>  </w:t>
            </w:r>
          </w:p>
        </w:tc>
        <w:tc>
          <w:tcPr>
            <w:tcW w:w="1134"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A1799F">
            <w:pPr>
              <w:jc w:val="center"/>
              <w:rPr>
                <w:rFonts w:asciiTheme="majorHAnsi" w:hAnsiTheme="majorHAnsi" w:cs="Andalus"/>
                <w:lang w:val="it-IT"/>
              </w:rPr>
            </w:pPr>
            <w:r w:rsidRPr="00A1799F">
              <w:rPr>
                <w:rFonts w:asciiTheme="majorHAnsi" w:hAnsiTheme="majorHAnsi" w:cs="Andalus"/>
                <w:lang w:val="it-IT"/>
              </w:rPr>
              <w:t>N</w:t>
            </w:r>
            <w:r>
              <w:rPr>
                <w:rFonts w:asciiTheme="majorHAnsi" w:hAnsiTheme="majorHAnsi" w:cs="Andalus"/>
                <w:lang w:val="it-IT"/>
              </w:rPr>
              <w:t>o</w:t>
            </w:r>
            <w:r w:rsidRPr="00A1799F">
              <w:rPr>
                <w:rFonts w:asciiTheme="majorHAnsi" w:hAnsiTheme="majorHAnsi" w:cs="Andalus"/>
                <w:lang w:val="it-IT"/>
              </w:rPr>
              <w:t> </w:t>
            </w:r>
          </w:p>
        </w:tc>
        <w:tc>
          <w:tcPr>
            <w:tcW w:w="1276"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716BA6">
            <w:pPr>
              <w:jc w:val="center"/>
              <w:rPr>
                <w:rFonts w:asciiTheme="majorHAnsi" w:hAnsiTheme="majorHAnsi" w:cs="Andalus"/>
                <w:lang w:val="it-IT"/>
              </w:rPr>
            </w:pPr>
            <w:r w:rsidRPr="00A1799F">
              <w:rPr>
                <w:rFonts w:asciiTheme="majorHAnsi" w:hAnsiTheme="majorHAnsi" w:cs="Andalus"/>
                <w:lang w:val="it-IT"/>
              </w:rPr>
              <w:t> No</w:t>
            </w:r>
          </w:p>
        </w:tc>
        <w:tc>
          <w:tcPr>
            <w:tcW w:w="1134" w:type="dxa"/>
            <w:tcBorders>
              <w:top w:val="nil"/>
              <w:left w:val="nil"/>
              <w:bottom w:val="single" w:sz="4" w:space="0" w:color="auto"/>
              <w:right w:val="single" w:sz="4" w:space="0" w:color="auto"/>
            </w:tcBorders>
            <w:shd w:val="clear" w:color="auto" w:fill="FFFFFF"/>
            <w:vAlign w:val="center"/>
            <w:hideMark/>
          </w:tcPr>
          <w:p w:rsidR="00C31639" w:rsidRPr="00A1799F" w:rsidRDefault="00C31639" w:rsidP="00716BA6">
            <w:pPr>
              <w:jc w:val="center"/>
              <w:rPr>
                <w:rFonts w:asciiTheme="majorHAnsi" w:hAnsiTheme="majorHAnsi" w:cs="Andalus"/>
                <w:lang w:val="it-IT"/>
              </w:rPr>
            </w:pPr>
            <w:r w:rsidRPr="00A1799F">
              <w:rPr>
                <w:rFonts w:asciiTheme="majorHAnsi" w:hAnsiTheme="majorHAnsi" w:cs="Andalus"/>
                <w:lang w:val="it-IT"/>
              </w:rPr>
              <w:t>No </w:t>
            </w:r>
          </w:p>
        </w:tc>
      </w:tr>
    </w:tbl>
    <w:p w:rsidR="00C31639" w:rsidRDefault="00C31639" w:rsidP="008E5854">
      <w:pPr>
        <w:tabs>
          <w:tab w:val="left" w:pos="0"/>
        </w:tabs>
        <w:suppressAutoHyphens/>
        <w:autoSpaceDN w:val="0"/>
        <w:jc w:val="both"/>
        <w:textAlignment w:val="baseline"/>
        <w:rPr>
          <w:rFonts w:ascii="Andalus" w:hAnsi="Andalus" w:cs="Andalus"/>
          <w:b/>
          <w:bCs/>
          <w:sz w:val="24"/>
          <w:szCs w:val="24"/>
          <w:lang w:val="it-IT"/>
        </w:rPr>
      </w:pPr>
    </w:p>
    <w:p w:rsidR="008B16D7" w:rsidRPr="006A654A" w:rsidRDefault="008B16D7" w:rsidP="008E5854">
      <w:pPr>
        <w:tabs>
          <w:tab w:val="left" w:pos="0"/>
        </w:tabs>
        <w:suppressAutoHyphens/>
        <w:autoSpaceDN w:val="0"/>
        <w:jc w:val="both"/>
        <w:textAlignment w:val="baseline"/>
        <w:rPr>
          <w:rFonts w:ascii="Andalus" w:eastAsia="Calibri" w:hAnsi="Andalus" w:cs="Andalus"/>
          <w:b/>
          <w:bCs/>
          <w:iCs/>
          <w:color w:val="000000"/>
          <w:kern w:val="3"/>
          <w:sz w:val="24"/>
          <w:szCs w:val="24"/>
          <w:lang w:val="it-IT" w:bidi="en-US"/>
        </w:rPr>
      </w:pPr>
      <w:r w:rsidRPr="006A654A">
        <w:rPr>
          <w:rFonts w:ascii="Andalus" w:hAnsi="Andalus" w:cs="Andalus"/>
          <w:b/>
          <w:bCs/>
          <w:sz w:val="24"/>
          <w:szCs w:val="24"/>
          <w:lang w:val="it-IT"/>
        </w:rPr>
        <w:t>RICOGNIZIONE DELLE SOCIETÀ PARTECIPATE INDIRETTAMENTE</w:t>
      </w:r>
    </w:p>
    <w:tbl>
      <w:tblPr>
        <w:tblW w:w="15593" w:type="dxa"/>
        <w:tblInd w:w="-497" w:type="dxa"/>
        <w:tblLayout w:type="fixed"/>
        <w:tblCellMar>
          <w:left w:w="70" w:type="dxa"/>
          <w:right w:w="70" w:type="dxa"/>
        </w:tblCellMar>
        <w:tblLook w:val="04A0" w:firstRow="1" w:lastRow="0" w:firstColumn="1" w:lastColumn="0" w:noHBand="0" w:noVBand="1"/>
      </w:tblPr>
      <w:tblGrid>
        <w:gridCol w:w="851"/>
        <w:gridCol w:w="1559"/>
        <w:gridCol w:w="1843"/>
        <w:gridCol w:w="1417"/>
        <w:gridCol w:w="2552"/>
        <w:gridCol w:w="1984"/>
        <w:gridCol w:w="1985"/>
        <w:gridCol w:w="1134"/>
        <w:gridCol w:w="1276"/>
        <w:gridCol w:w="992"/>
      </w:tblGrid>
      <w:tr w:rsidR="008B16D7" w:rsidRPr="00684C28" w:rsidTr="004E4421">
        <w:trPr>
          <w:trHeight w:val="70"/>
        </w:trPr>
        <w:tc>
          <w:tcPr>
            <w:tcW w:w="851" w:type="dxa"/>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Nr. Progr.</w:t>
            </w:r>
          </w:p>
        </w:tc>
        <w:tc>
          <w:tcPr>
            <w:tcW w:w="1559"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Codice fiscale società</w:t>
            </w:r>
          </w:p>
        </w:tc>
        <w:tc>
          <w:tcPr>
            <w:tcW w:w="1843"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Denominazione società</w:t>
            </w:r>
          </w:p>
        </w:tc>
        <w:tc>
          <w:tcPr>
            <w:tcW w:w="1417"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Anno di costituzione</w:t>
            </w:r>
          </w:p>
        </w:tc>
        <w:tc>
          <w:tcPr>
            <w:tcW w:w="2552"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Denominazione società/</w:t>
            </w:r>
            <w:r w:rsidRPr="00684C28">
              <w:rPr>
                <w:rFonts w:asciiTheme="majorHAnsi" w:hAnsiTheme="majorHAnsi" w:cs="Arial"/>
                <w:b/>
                <w:bCs/>
                <w:highlight w:val="yellow"/>
              </w:rPr>
              <w:br/>
              <w:t>organismo</w:t>
            </w:r>
            <w:r w:rsidRPr="00684C28">
              <w:rPr>
                <w:rFonts w:asciiTheme="majorHAnsi" w:hAnsiTheme="majorHAnsi" w:cs="Arial"/>
                <w:b/>
                <w:bCs/>
                <w:highlight w:val="yellow"/>
              </w:rPr>
              <w:br/>
              <w:t xml:space="preserve"> tramite</w:t>
            </w:r>
          </w:p>
        </w:tc>
        <w:tc>
          <w:tcPr>
            <w:tcW w:w="1984"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lang w:val="it-IT"/>
              </w:rPr>
            </w:pPr>
            <w:r w:rsidRPr="00684C28">
              <w:rPr>
                <w:rFonts w:asciiTheme="majorHAnsi" w:hAnsiTheme="majorHAnsi" w:cs="Arial"/>
                <w:b/>
                <w:bCs/>
                <w:highlight w:val="yellow"/>
                <w:lang w:val="it-IT"/>
              </w:rPr>
              <w:t xml:space="preserve">% Quota </w:t>
            </w:r>
            <w:r w:rsidRPr="00684C28">
              <w:rPr>
                <w:rFonts w:asciiTheme="majorHAnsi" w:hAnsiTheme="majorHAnsi" w:cs="Arial"/>
                <w:b/>
                <w:bCs/>
                <w:highlight w:val="yellow"/>
                <w:lang w:val="it-IT"/>
              </w:rPr>
              <w:br/>
              <w:t>di partecipazione società/</w:t>
            </w:r>
            <w:r w:rsidRPr="00684C28">
              <w:rPr>
                <w:rFonts w:asciiTheme="majorHAnsi" w:hAnsiTheme="majorHAnsi" w:cs="Arial"/>
                <w:b/>
                <w:bCs/>
                <w:highlight w:val="yellow"/>
                <w:lang w:val="it-IT"/>
              </w:rPr>
              <w:br/>
              <w:t xml:space="preserve">organismo </w:t>
            </w:r>
            <w:r w:rsidRPr="00684C28">
              <w:rPr>
                <w:rFonts w:asciiTheme="majorHAnsi" w:hAnsiTheme="majorHAnsi" w:cs="Arial"/>
                <w:b/>
                <w:bCs/>
                <w:highlight w:val="yellow"/>
                <w:lang w:val="it-IT"/>
              </w:rPr>
              <w:br/>
              <w:t>tramite</w:t>
            </w:r>
          </w:p>
        </w:tc>
        <w:tc>
          <w:tcPr>
            <w:tcW w:w="1985"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lang w:val="it-IT"/>
              </w:rPr>
            </w:pPr>
            <w:r w:rsidRPr="00684C28">
              <w:rPr>
                <w:rFonts w:asciiTheme="majorHAnsi" w:hAnsiTheme="majorHAnsi" w:cs="Arial"/>
                <w:b/>
                <w:bCs/>
                <w:highlight w:val="yellow"/>
                <w:lang w:val="it-IT"/>
              </w:rPr>
              <w:t>% Quota</w:t>
            </w:r>
            <w:r w:rsidRPr="00684C28">
              <w:rPr>
                <w:rFonts w:asciiTheme="majorHAnsi" w:hAnsiTheme="majorHAnsi" w:cs="Arial"/>
                <w:b/>
                <w:bCs/>
                <w:highlight w:val="yellow"/>
                <w:lang w:val="it-IT"/>
              </w:rPr>
              <w:br/>
              <w:t xml:space="preserve">di partecipazione </w:t>
            </w:r>
            <w:r w:rsidRPr="00684C28">
              <w:rPr>
                <w:rFonts w:asciiTheme="majorHAnsi" w:hAnsiTheme="majorHAnsi" w:cs="Arial"/>
                <w:b/>
                <w:bCs/>
                <w:highlight w:val="yellow"/>
                <w:lang w:val="it-IT"/>
              </w:rPr>
              <w:br/>
              <w:t>indiretta Amministrazione</w:t>
            </w:r>
          </w:p>
        </w:tc>
        <w:tc>
          <w:tcPr>
            <w:tcW w:w="1134"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Attività svolta</w:t>
            </w:r>
          </w:p>
        </w:tc>
        <w:tc>
          <w:tcPr>
            <w:tcW w:w="1276"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Partecipazione di controllo</w:t>
            </w:r>
          </w:p>
        </w:tc>
        <w:tc>
          <w:tcPr>
            <w:tcW w:w="992" w:type="dxa"/>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B16D7" w:rsidRPr="00684C28" w:rsidRDefault="008B16D7" w:rsidP="008B16D7">
            <w:pPr>
              <w:jc w:val="center"/>
              <w:rPr>
                <w:rFonts w:asciiTheme="majorHAnsi" w:hAnsiTheme="majorHAnsi" w:cs="Arial"/>
                <w:b/>
                <w:bCs/>
                <w:highlight w:val="yellow"/>
              </w:rPr>
            </w:pPr>
            <w:r w:rsidRPr="00684C28">
              <w:rPr>
                <w:rFonts w:asciiTheme="majorHAnsi" w:hAnsiTheme="majorHAnsi" w:cs="Arial"/>
                <w:b/>
                <w:bCs/>
                <w:highlight w:val="yellow"/>
              </w:rPr>
              <w:t>Società in house</w:t>
            </w:r>
          </w:p>
        </w:tc>
      </w:tr>
      <w:tr w:rsidR="008B16D7" w:rsidRPr="00684C28" w:rsidTr="004E4421">
        <w:trPr>
          <w:trHeight w:val="285"/>
        </w:trPr>
        <w:tc>
          <w:tcPr>
            <w:tcW w:w="851"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A</w:t>
            </w:r>
          </w:p>
        </w:tc>
        <w:tc>
          <w:tcPr>
            <w:tcW w:w="1559"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B</w:t>
            </w:r>
          </w:p>
        </w:tc>
        <w:tc>
          <w:tcPr>
            <w:tcW w:w="1843"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C</w:t>
            </w:r>
          </w:p>
        </w:tc>
        <w:tc>
          <w:tcPr>
            <w:tcW w:w="1417"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D</w:t>
            </w:r>
          </w:p>
        </w:tc>
        <w:tc>
          <w:tcPr>
            <w:tcW w:w="2552"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E</w:t>
            </w:r>
          </w:p>
        </w:tc>
        <w:tc>
          <w:tcPr>
            <w:tcW w:w="198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F</w:t>
            </w:r>
          </w:p>
        </w:tc>
        <w:tc>
          <w:tcPr>
            <w:tcW w:w="1985"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G</w:t>
            </w:r>
          </w:p>
        </w:tc>
        <w:tc>
          <w:tcPr>
            <w:tcW w:w="1134"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H</w:t>
            </w:r>
          </w:p>
        </w:tc>
        <w:tc>
          <w:tcPr>
            <w:tcW w:w="1276"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I</w:t>
            </w:r>
          </w:p>
        </w:tc>
        <w:tc>
          <w:tcPr>
            <w:tcW w:w="992" w:type="dxa"/>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B16D7" w:rsidRPr="00684C28" w:rsidRDefault="008B16D7" w:rsidP="008B16D7">
            <w:pPr>
              <w:jc w:val="center"/>
              <w:rPr>
                <w:rFonts w:asciiTheme="majorHAnsi" w:hAnsiTheme="majorHAnsi" w:cs="Andalus"/>
                <w:bCs/>
                <w:highlight w:val="yellow"/>
              </w:rPr>
            </w:pPr>
            <w:r w:rsidRPr="00684C28">
              <w:rPr>
                <w:rFonts w:asciiTheme="majorHAnsi" w:hAnsiTheme="majorHAnsi" w:cs="Andalus"/>
                <w:bCs/>
                <w:highlight w:val="yellow"/>
              </w:rPr>
              <w:t>J</w:t>
            </w:r>
          </w:p>
        </w:tc>
      </w:tr>
      <w:tr w:rsidR="008B16D7" w:rsidRPr="00684C28" w:rsidTr="00E236C5">
        <w:trPr>
          <w:trHeight w:val="702"/>
        </w:trPr>
        <w:tc>
          <w:tcPr>
            <w:tcW w:w="851" w:type="dxa"/>
            <w:tcBorders>
              <w:top w:val="nil"/>
              <w:left w:val="single" w:sz="4" w:space="0" w:color="auto"/>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ndalus"/>
                <w:highlight w:val="yellow"/>
              </w:rPr>
            </w:pPr>
            <w:r w:rsidRPr="00684C28">
              <w:rPr>
                <w:rFonts w:asciiTheme="majorHAnsi" w:hAnsiTheme="majorHAnsi" w:cs="Andalus"/>
                <w:highlight w:val="yellow"/>
              </w:rPr>
              <w:t>1 </w:t>
            </w:r>
          </w:p>
        </w:tc>
        <w:tc>
          <w:tcPr>
            <w:tcW w:w="1559"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ndalus"/>
                <w:highlight w:val="yellow"/>
                <w:lang w:val="it-IT"/>
              </w:rPr>
            </w:pPr>
            <w:r w:rsidRPr="00684C28">
              <w:rPr>
                <w:rFonts w:asciiTheme="majorHAnsi" w:eastAsia="Lucida Sans Unicode" w:hAnsiTheme="majorHAnsi" w:cs="Andalus"/>
                <w:caps/>
                <w:color w:val="000000"/>
                <w:kern w:val="3"/>
                <w:highlight w:val="yellow"/>
                <w:lang w:val="it-IT" w:bidi="en-US"/>
              </w:rPr>
              <w:t>01178450860</w:t>
            </w:r>
            <w:r w:rsidRPr="00684C28">
              <w:rPr>
                <w:rFonts w:asciiTheme="majorHAnsi" w:hAnsiTheme="majorHAnsi" w:cs="Andalus"/>
                <w:highlight w:val="yellow"/>
                <w:lang w:val="it-IT"/>
              </w:rPr>
              <w:t> </w:t>
            </w:r>
          </w:p>
        </w:tc>
        <w:tc>
          <w:tcPr>
            <w:tcW w:w="1843"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3A46B6">
            <w:pPr>
              <w:rPr>
                <w:rFonts w:asciiTheme="majorHAnsi" w:hAnsiTheme="majorHAnsi" w:cs="Andalus"/>
                <w:highlight w:val="yellow"/>
              </w:rPr>
            </w:pPr>
            <w:r w:rsidRPr="00684C28">
              <w:rPr>
                <w:rFonts w:asciiTheme="majorHAnsi" w:hAnsiTheme="majorHAnsi" w:cs="Andalus"/>
                <w:highlight w:val="yellow"/>
              </w:rPr>
              <w:t> Srl Dea di M</w:t>
            </w:r>
            <w:r w:rsidR="003A46B6" w:rsidRPr="00684C28">
              <w:rPr>
                <w:rFonts w:asciiTheme="majorHAnsi" w:hAnsiTheme="majorHAnsi" w:cs="Andalus"/>
                <w:highlight w:val="yellow"/>
              </w:rPr>
              <w:t>o</w:t>
            </w:r>
            <w:r w:rsidRPr="00684C28">
              <w:rPr>
                <w:rFonts w:asciiTheme="majorHAnsi" w:hAnsiTheme="majorHAnsi" w:cs="Andalus"/>
                <w:highlight w:val="yellow"/>
              </w:rPr>
              <w:t xml:space="preserve">rgantina </w:t>
            </w:r>
          </w:p>
        </w:tc>
        <w:tc>
          <w:tcPr>
            <w:tcW w:w="1417"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ndalus"/>
                <w:highlight w:val="yellow"/>
              </w:rPr>
            </w:pPr>
            <w:r w:rsidRPr="00684C28">
              <w:rPr>
                <w:rFonts w:asciiTheme="majorHAnsi" w:hAnsiTheme="majorHAnsi" w:cs="Andalus"/>
                <w:highlight w:val="yellow"/>
              </w:rPr>
              <w:t>2011 </w:t>
            </w:r>
          </w:p>
        </w:tc>
        <w:tc>
          <w:tcPr>
            <w:tcW w:w="2552"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rPr>
                <w:rFonts w:asciiTheme="majorHAnsi" w:hAnsiTheme="majorHAnsi" w:cs="Andalus"/>
                <w:highlight w:val="yellow"/>
                <w:lang w:val="it-IT"/>
              </w:rPr>
            </w:pPr>
            <w:r w:rsidRPr="00684C28">
              <w:rPr>
                <w:rFonts w:asciiTheme="majorHAnsi" w:hAnsiTheme="majorHAnsi" w:cs="Andalus"/>
                <w:highlight w:val="yellow"/>
                <w:lang w:val="it-IT"/>
              </w:rPr>
              <w:t> Società Consortile mista pubblico-privato a rl Rocca di Cerere.</w:t>
            </w:r>
          </w:p>
        </w:tc>
        <w:tc>
          <w:tcPr>
            <w:tcW w:w="1984" w:type="dxa"/>
            <w:tcBorders>
              <w:top w:val="nil"/>
              <w:left w:val="nil"/>
              <w:bottom w:val="single" w:sz="4" w:space="0" w:color="auto"/>
              <w:right w:val="single" w:sz="4" w:space="0" w:color="auto"/>
            </w:tcBorders>
            <w:shd w:val="clear" w:color="auto" w:fill="FFFFFF"/>
            <w:vAlign w:val="center"/>
            <w:hideMark/>
          </w:tcPr>
          <w:p w:rsidR="008B16D7" w:rsidRPr="00684C28" w:rsidRDefault="0093712C" w:rsidP="00946FC3">
            <w:pPr>
              <w:jc w:val="center"/>
              <w:rPr>
                <w:rFonts w:asciiTheme="majorHAnsi" w:hAnsiTheme="majorHAnsi" w:cs="Andalus"/>
                <w:highlight w:val="yellow"/>
                <w:lang w:val="it-IT"/>
              </w:rPr>
            </w:pPr>
            <w:r w:rsidRPr="00684C28">
              <w:rPr>
                <w:rFonts w:asciiTheme="majorHAnsi" w:hAnsiTheme="majorHAnsi" w:cs="Andalus"/>
                <w:highlight w:val="yellow"/>
                <w:lang w:val="it-IT"/>
              </w:rPr>
              <w:t>1,</w:t>
            </w:r>
            <w:r w:rsidR="008B16D7" w:rsidRPr="00684C28">
              <w:rPr>
                <w:rFonts w:asciiTheme="majorHAnsi" w:hAnsiTheme="majorHAnsi" w:cs="Andalus"/>
                <w:highlight w:val="yellow"/>
                <w:lang w:val="it-IT"/>
              </w:rPr>
              <w:t>0</w:t>
            </w:r>
            <w:r w:rsidR="00946FC3">
              <w:rPr>
                <w:rFonts w:asciiTheme="majorHAnsi" w:hAnsiTheme="majorHAnsi" w:cs="Andalus"/>
                <w:highlight w:val="yellow"/>
                <w:lang w:val="it-IT"/>
              </w:rPr>
              <w:t>5</w:t>
            </w:r>
            <w:r w:rsidR="008B16D7" w:rsidRPr="00684C28">
              <w:rPr>
                <w:rFonts w:asciiTheme="majorHAnsi" w:hAnsiTheme="majorHAnsi" w:cs="Andalus"/>
                <w:highlight w:val="yellow"/>
                <w:lang w:val="it-IT"/>
              </w:rPr>
              <w:t>% </w:t>
            </w:r>
            <w:r w:rsidR="00D4205B">
              <w:rPr>
                <w:rFonts w:asciiTheme="majorHAnsi" w:hAnsiTheme="majorHAnsi" w:cs="Andalus"/>
                <w:highlight w:val="yellow"/>
                <w:lang w:val="it-IT"/>
              </w:rPr>
              <w:t xml:space="preserve"> ?</w:t>
            </w:r>
          </w:p>
        </w:tc>
        <w:tc>
          <w:tcPr>
            <w:tcW w:w="1985"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ndalus"/>
                <w:highlight w:val="yellow"/>
                <w:lang w:val="it-IT"/>
              </w:rPr>
            </w:pPr>
            <w:r w:rsidRPr="00684C28">
              <w:rPr>
                <w:rFonts w:asciiTheme="majorHAnsi" w:hAnsiTheme="majorHAnsi" w:cs="Andalus"/>
                <w:highlight w:val="yellow"/>
                <w:lang w:val="it-IT"/>
              </w:rPr>
              <w:t>0,16% </w:t>
            </w:r>
          </w:p>
        </w:tc>
        <w:tc>
          <w:tcPr>
            <w:tcW w:w="1134"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rPr>
                <w:rFonts w:asciiTheme="majorHAnsi" w:hAnsiTheme="majorHAnsi" w:cs="Andalus"/>
                <w:highlight w:val="yellow"/>
                <w:lang w:val="it-IT"/>
              </w:rPr>
            </w:pPr>
            <w:r w:rsidRPr="00684C28">
              <w:rPr>
                <w:rFonts w:asciiTheme="majorHAnsi" w:hAnsiTheme="majorHAnsi" w:cs="Andalus"/>
                <w:highlight w:val="yellow"/>
                <w:lang w:val="it-IT"/>
              </w:rPr>
              <w:t xml:space="preserve"> Attività turistiche </w:t>
            </w:r>
          </w:p>
        </w:tc>
        <w:tc>
          <w:tcPr>
            <w:tcW w:w="1276"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ndalus"/>
                <w:highlight w:val="yellow"/>
                <w:lang w:val="it-IT"/>
              </w:rPr>
            </w:pPr>
            <w:r w:rsidRPr="00684C28">
              <w:rPr>
                <w:rFonts w:asciiTheme="majorHAnsi" w:hAnsiTheme="majorHAnsi" w:cs="Andalus"/>
                <w:highlight w:val="yellow"/>
                <w:lang w:val="it-IT"/>
              </w:rPr>
              <w:t>No </w:t>
            </w:r>
          </w:p>
        </w:tc>
        <w:tc>
          <w:tcPr>
            <w:tcW w:w="992" w:type="dxa"/>
            <w:tcBorders>
              <w:top w:val="nil"/>
              <w:left w:val="nil"/>
              <w:bottom w:val="single" w:sz="4" w:space="0" w:color="auto"/>
              <w:right w:val="single" w:sz="4" w:space="0" w:color="auto"/>
            </w:tcBorders>
            <w:shd w:val="clear" w:color="auto" w:fill="FFFFFF"/>
            <w:vAlign w:val="center"/>
            <w:hideMark/>
          </w:tcPr>
          <w:p w:rsidR="008B16D7" w:rsidRPr="00684C28" w:rsidRDefault="008B16D7" w:rsidP="008B16D7">
            <w:pPr>
              <w:jc w:val="center"/>
              <w:rPr>
                <w:rFonts w:asciiTheme="majorHAnsi" w:hAnsiTheme="majorHAnsi" w:cs="Arial"/>
                <w:highlight w:val="yellow"/>
                <w:lang w:val="it-IT"/>
              </w:rPr>
            </w:pPr>
            <w:r w:rsidRPr="00684C28">
              <w:rPr>
                <w:rFonts w:asciiTheme="majorHAnsi" w:hAnsiTheme="majorHAnsi" w:cs="Arial"/>
                <w:highlight w:val="yellow"/>
                <w:lang w:val="it-IT"/>
              </w:rPr>
              <w:t>No </w:t>
            </w:r>
          </w:p>
        </w:tc>
      </w:tr>
    </w:tbl>
    <w:p w:rsidR="008B16D7" w:rsidRDefault="008B16D7" w:rsidP="008E5854">
      <w:pPr>
        <w:tabs>
          <w:tab w:val="left" w:pos="0"/>
        </w:tabs>
        <w:suppressAutoHyphens/>
        <w:autoSpaceDN w:val="0"/>
        <w:jc w:val="both"/>
        <w:textAlignment w:val="baseline"/>
        <w:rPr>
          <w:rFonts w:ascii="Andalus" w:eastAsia="Calibri" w:hAnsi="Andalus" w:cs="Andalus"/>
          <w:b/>
          <w:bCs/>
          <w:iCs/>
          <w:color w:val="000000"/>
          <w:kern w:val="3"/>
          <w:sz w:val="24"/>
          <w:szCs w:val="24"/>
          <w:lang w:val="it-IT" w:bidi="en-US"/>
        </w:rPr>
      </w:pPr>
    </w:p>
    <w:p w:rsidR="008B16D7" w:rsidRDefault="008B16D7" w:rsidP="008E5854">
      <w:pPr>
        <w:tabs>
          <w:tab w:val="left" w:pos="0"/>
        </w:tabs>
        <w:suppressAutoHyphens/>
        <w:autoSpaceDN w:val="0"/>
        <w:jc w:val="both"/>
        <w:textAlignment w:val="baseline"/>
        <w:rPr>
          <w:rFonts w:ascii="Andalus" w:eastAsia="Calibri" w:hAnsi="Andalus" w:cs="Andalus"/>
          <w:b/>
          <w:bCs/>
          <w:iCs/>
          <w:color w:val="000000"/>
          <w:kern w:val="3"/>
          <w:sz w:val="24"/>
          <w:szCs w:val="24"/>
          <w:lang w:val="it-IT" w:bidi="en-US"/>
        </w:rPr>
      </w:pPr>
    </w:p>
    <w:p w:rsidR="006A654A" w:rsidRDefault="006A654A" w:rsidP="008E5854">
      <w:pPr>
        <w:tabs>
          <w:tab w:val="left" w:pos="0"/>
        </w:tabs>
        <w:suppressAutoHyphens/>
        <w:autoSpaceDN w:val="0"/>
        <w:jc w:val="both"/>
        <w:textAlignment w:val="baseline"/>
        <w:rPr>
          <w:rFonts w:ascii="Andalus" w:eastAsia="Calibri" w:hAnsi="Andalus" w:cs="Andalus"/>
          <w:b/>
          <w:bCs/>
          <w:iCs/>
          <w:color w:val="000000"/>
          <w:kern w:val="3"/>
          <w:sz w:val="24"/>
          <w:szCs w:val="24"/>
          <w:lang w:val="it-IT" w:bidi="en-US"/>
        </w:rPr>
        <w:sectPr w:rsidR="006A654A" w:rsidSect="0074721D">
          <w:pgSz w:w="16838" w:h="11906" w:orient="landscape"/>
          <w:pgMar w:top="1134" w:right="1417" w:bottom="1134" w:left="1134" w:header="708" w:footer="708" w:gutter="0"/>
          <w:cols w:space="708"/>
          <w:titlePg/>
          <w:docGrid w:linePitch="360"/>
        </w:sectPr>
      </w:pPr>
    </w:p>
    <w:p w:rsidR="00530E6D" w:rsidRPr="00FA3B24" w:rsidRDefault="00530E6D" w:rsidP="00FA3B24">
      <w:p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r w:rsidRPr="00FA3B24">
        <w:rPr>
          <w:rFonts w:ascii="Andalus" w:eastAsia="Calibri" w:hAnsi="Andalus" w:cs="Andalus"/>
          <w:b/>
          <w:bCs/>
          <w:iCs/>
          <w:color w:val="000000"/>
          <w:kern w:val="3"/>
          <w:sz w:val="24"/>
          <w:szCs w:val="24"/>
          <w:lang w:val="it-IT" w:bidi="en-US"/>
        </w:rPr>
        <w:lastRenderedPageBreak/>
        <w:t>Nel predetto ambito non sono incluse le seguenti compagini soci</w:t>
      </w:r>
      <w:r w:rsidR="002B37F6" w:rsidRPr="00FA3B24">
        <w:rPr>
          <w:rFonts w:ascii="Andalus" w:eastAsia="Calibri" w:hAnsi="Andalus" w:cs="Andalus"/>
          <w:b/>
          <w:bCs/>
          <w:iCs/>
          <w:color w:val="000000"/>
          <w:kern w:val="3"/>
          <w:sz w:val="24"/>
          <w:szCs w:val="24"/>
          <w:lang w:val="it-IT" w:bidi="en-US"/>
        </w:rPr>
        <w:t>etarie</w:t>
      </w:r>
      <w:r w:rsidRPr="00FA3B24">
        <w:rPr>
          <w:rFonts w:ascii="Andalus" w:eastAsia="Calibri" w:hAnsi="Andalus" w:cs="Andalus"/>
          <w:b/>
          <w:bCs/>
          <w:iCs/>
          <w:color w:val="000000"/>
          <w:kern w:val="3"/>
          <w:sz w:val="24"/>
          <w:szCs w:val="24"/>
          <w:lang w:val="it-IT" w:bidi="en-US"/>
        </w:rPr>
        <w:t>:</w:t>
      </w:r>
    </w:p>
    <w:p w:rsidR="00FA3B24" w:rsidRDefault="00530E6D" w:rsidP="00FA3B24">
      <w:pPr>
        <w:pStyle w:val="Paragrafoelenco"/>
        <w:numPr>
          <w:ilvl w:val="0"/>
          <w:numId w:val="14"/>
        </w:num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r w:rsidRPr="00FA3B24">
        <w:rPr>
          <w:rFonts w:ascii="Andalus" w:eastAsia="Calibri" w:hAnsi="Andalus" w:cs="Andalus"/>
          <w:b/>
          <w:bCs/>
          <w:iCs/>
          <w:color w:val="000000"/>
          <w:kern w:val="3"/>
          <w:sz w:val="24"/>
          <w:szCs w:val="24"/>
          <w:lang w:val="it-IT" w:bidi="en-US"/>
        </w:rPr>
        <w:t>S.R.R. “Enna Provincia”, giusto D.</w:t>
      </w:r>
      <w:r w:rsidR="008B6033">
        <w:rPr>
          <w:rFonts w:ascii="Andalus" w:eastAsia="Calibri" w:hAnsi="Andalus" w:cs="Andalus"/>
          <w:b/>
          <w:bCs/>
          <w:iCs/>
          <w:color w:val="000000"/>
          <w:kern w:val="3"/>
          <w:sz w:val="24"/>
          <w:szCs w:val="24"/>
          <w:lang w:val="it-IT" w:bidi="en-US"/>
        </w:rPr>
        <w:t xml:space="preserve"> </w:t>
      </w:r>
      <w:r w:rsidRPr="00FA3B24">
        <w:rPr>
          <w:rFonts w:ascii="Andalus" w:eastAsia="Calibri" w:hAnsi="Andalus" w:cs="Andalus"/>
          <w:b/>
          <w:bCs/>
          <w:iCs/>
          <w:color w:val="000000"/>
          <w:kern w:val="3"/>
          <w:sz w:val="24"/>
          <w:szCs w:val="24"/>
          <w:lang w:val="it-IT" w:bidi="en-US"/>
        </w:rPr>
        <w:t>A. 1209 del 30/07/2017, istituita ai sensi dell’art.6 della L.</w:t>
      </w:r>
      <w:r w:rsidR="008B6033">
        <w:rPr>
          <w:rFonts w:ascii="Andalus" w:eastAsia="Calibri" w:hAnsi="Andalus" w:cs="Andalus"/>
          <w:b/>
          <w:bCs/>
          <w:iCs/>
          <w:color w:val="000000"/>
          <w:kern w:val="3"/>
          <w:sz w:val="24"/>
          <w:szCs w:val="24"/>
          <w:lang w:val="it-IT" w:bidi="en-US"/>
        </w:rPr>
        <w:t xml:space="preserve"> </w:t>
      </w:r>
      <w:r w:rsidRPr="00FA3B24">
        <w:rPr>
          <w:rFonts w:ascii="Andalus" w:eastAsia="Calibri" w:hAnsi="Andalus" w:cs="Andalus"/>
          <w:b/>
          <w:bCs/>
          <w:iCs/>
          <w:color w:val="000000"/>
          <w:kern w:val="3"/>
          <w:sz w:val="24"/>
          <w:szCs w:val="24"/>
          <w:lang w:val="it-IT" w:bidi="en-US"/>
        </w:rPr>
        <w:t>R. 9/2010, e pertanto non assoggettata a revisione in quanto costituita in forza di legge</w:t>
      </w:r>
      <w:r w:rsidR="002B37F6" w:rsidRPr="00FA3B24">
        <w:rPr>
          <w:rFonts w:ascii="Andalus" w:eastAsia="Calibri" w:hAnsi="Andalus" w:cs="Andalus"/>
          <w:b/>
          <w:bCs/>
          <w:iCs/>
          <w:color w:val="000000"/>
          <w:kern w:val="3"/>
          <w:sz w:val="24"/>
          <w:szCs w:val="24"/>
          <w:lang w:val="it-IT" w:bidi="en-US"/>
        </w:rPr>
        <w:t>;</w:t>
      </w:r>
    </w:p>
    <w:p w:rsidR="00487D65" w:rsidRDefault="002B37F6" w:rsidP="00FA3B24">
      <w:pPr>
        <w:pStyle w:val="Paragrafoelenco"/>
        <w:numPr>
          <w:ilvl w:val="0"/>
          <w:numId w:val="14"/>
        </w:num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r w:rsidRPr="00FA3B24">
        <w:rPr>
          <w:rFonts w:ascii="Andalus" w:eastAsia="Calibri" w:hAnsi="Andalus" w:cs="Andalus"/>
          <w:b/>
          <w:bCs/>
          <w:iCs/>
          <w:color w:val="000000"/>
          <w:kern w:val="3"/>
          <w:sz w:val="24"/>
          <w:szCs w:val="24"/>
          <w:lang w:val="it-IT" w:bidi="en-US"/>
        </w:rPr>
        <w:t>ATO rifiuti Enna Euno spa, in liquidazione ai sensi della L.</w:t>
      </w:r>
      <w:r w:rsidR="008B6033">
        <w:rPr>
          <w:rFonts w:ascii="Andalus" w:eastAsia="Calibri" w:hAnsi="Andalus" w:cs="Andalus"/>
          <w:b/>
          <w:bCs/>
          <w:iCs/>
          <w:color w:val="000000"/>
          <w:kern w:val="3"/>
          <w:sz w:val="24"/>
          <w:szCs w:val="24"/>
          <w:lang w:val="it-IT" w:bidi="en-US"/>
        </w:rPr>
        <w:t xml:space="preserve"> </w:t>
      </w:r>
      <w:r w:rsidRPr="00FA3B24">
        <w:rPr>
          <w:rFonts w:ascii="Andalus" w:eastAsia="Calibri" w:hAnsi="Andalus" w:cs="Andalus"/>
          <w:b/>
          <w:bCs/>
          <w:iCs/>
          <w:color w:val="000000"/>
          <w:kern w:val="3"/>
          <w:sz w:val="24"/>
          <w:szCs w:val="24"/>
          <w:lang w:val="it-IT" w:bidi="en-US"/>
        </w:rPr>
        <w:t>R. 9/2010</w:t>
      </w:r>
      <w:r w:rsidR="00487D65">
        <w:rPr>
          <w:rFonts w:ascii="Andalus" w:eastAsia="Calibri" w:hAnsi="Andalus" w:cs="Andalus"/>
          <w:b/>
          <w:bCs/>
          <w:iCs/>
          <w:color w:val="000000"/>
          <w:kern w:val="3"/>
          <w:sz w:val="24"/>
          <w:szCs w:val="24"/>
          <w:lang w:val="it-IT" w:bidi="en-US"/>
        </w:rPr>
        <w:t>:</w:t>
      </w:r>
    </w:p>
    <w:p w:rsidR="002B37F6" w:rsidRPr="00FA3B24" w:rsidRDefault="00FC238D" w:rsidP="00FA3B24">
      <w:pPr>
        <w:pStyle w:val="Paragrafoelenco"/>
        <w:numPr>
          <w:ilvl w:val="0"/>
          <w:numId w:val="14"/>
        </w:num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r w:rsidRPr="00FA3B24">
        <w:rPr>
          <w:rFonts w:ascii="Andalus" w:eastAsia="Calibri" w:hAnsi="Andalus" w:cs="Andalus"/>
          <w:b/>
          <w:bCs/>
          <w:iCs/>
          <w:color w:val="000000"/>
          <w:kern w:val="3"/>
          <w:sz w:val="24"/>
          <w:szCs w:val="24"/>
          <w:lang w:val="it-IT" w:bidi="en-US"/>
        </w:rPr>
        <w:t xml:space="preserve">Sicilia Ambiente </w:t>
      </w:r>
      <w:r w:rsidR="00487D65">
        <w:rPr>
          <w:rFonts w:ascii="Andalus" w:eastAsia="Calibri" w:hAnsi="Andalus" w:cs="Andalus"/>
          <w:b/>
          <w:bCs/>
          <w:iCs/>
          <w:color w:val="000000"/>
          <w:kern w:val="3"/>
          <w:sz w:val="24"/>
          <w:szCs w:val="24"/>
          <w:lang w:val="it-IT" w:bidi="en-US"/>
        </w:rPr>
        <w:t xml:space="preserve">spa </w:t>
      </w:r>
      <w:r w:rsidRPr="00FA3B24">
        <w:rPr>
          <w:rFonts w:ascii="Andalus" w:eastAsia="Calibri" w:hAnsi="Andalus" w:cs="Andalus"/>
          <w:b/>
          <w:bCs/>
          <w:iCs/>
          <w:color w:val="000000"/>
          <w:kern w:val="3"/>
          <w:sz w:val="24"/>
          <w:szCs w:val="24"/>
          <w:lang w:val="it-IT" w:bidi="en-US"/>
        </w:rPr>
        <w:t>in liquidazione.</w:t>
      </w:r>
    </w:p>
    <w:p w:rsidR="00B010C3" w:rsidRDefault="00B010C3" w:rsidP="00FA3B24">
      <w:p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p>
    <w:p w:rsidR="008E5854" w:rsidRPr="00FA3B24" w:rsidRDefault="008E5854" w:rsidP="00FA3B24">
      <w:pPr>
        <w:tabs>
          <w:tab w:val="left" w:pos="0"/>
        </w:tabs>
        <w:suppressAutoHyphens/>
        <w:autoSpaceDN w:val="0"/>
        <w:spacing w:after="120"/>
        <w:jc w:val="both"/>
        <w:textAlignment w:val="baseline"/>
        <w:rPr>
          <w:rFonts w:ascii="Andalus" w:eastAsia="Calibri" w:hAnsi="Andalus" w:cs="Andalus"/>
          <w:b/>
          <w:bCs/>
          <w:iCs/>
          <w:color w:val="000000"/>
          <w:kern w:val="3"/>
          <w:sz w:val="24"/>
          <w:szCs w:val="24"/>
          <w:lang w:val="it-IT" w:bidi="en-US"/>
        </w:rPr>
      </w:pPr>
      <w:r w:rsidRPr="00FA3B24">
        <w:rPr>
          <w:rFonts w:ascii="Andalus" w:eastAsia="Calibri" w:hAnsi="Andalus" w:cs="Andalus"/>
          <w:b/>
          <w:bCs/>
          <w:iCs/>
          <w:color w:val="000000"/>
          <w:kern w:val="3"/>
          <w:sz w:val="24"/>
          <w:szCs w:val="24"/>
          <w:lang w:val="it-IT" w:bidi="en-US"/>
        </w:rPr>
        <w:t>Raccolta informazioni</w:t>
      </w:r>
    </w:p>
    <w:p w:rsidR="008E5854" w:rsidRPr="00FA3B24" w:rsidRDefault="008E5854" w:rsidP="00FA3B24">
      <w:pPr>
        <w:tabs>
          <w:tab w:val="left" w:pos="0"/>
        </w:tabs>
        <w:suppressAutoHyphens/>
        <w:autoSpaceDN w:val="0"/>
        <w:spacing w:after="120"/>
        <w:ind w:firstLine="567"/>
        <w:jc w:val="both"/>
        <w:textAlignment w:val="baseline"/>
        <w:rPr>
          <w:rFonts w:ascii="Andalus" w:eastAsia="Calibri" w:hAnsi="Andalus" w:cs="Andalus"/>
          <w:bCs/>
          <w:iCs/>
          <w:color w:val="000000"/>
          <w:kern w:val="3"/>
          <w:sz w:val="24"/>
          <w:szCs w:val="24"/>
          <w:lang w:val="it-IT" w:bidi="en-US"/>
        </w:rPr>
      </w:pPr>
      <w:r w:rsidRPr="00FA3B24">
        <w:rPr>
          <w:rFonts w:ascii="Andalus" w:eastAsia="Calibri" w:hAnsi="Andalus" w:cs="Andalus"/>
          <w:bCs/>
          <w:iCs/>
          <w:color w:val="000000"/>
          <w:kern w:val="3"/>
          <w:sz w:val="24"/>
          <w:szCs w:val="24"/>
          <w:lang w:val="it-IT" w:bidi="en-US"/>
        </w:rPr>
        <w:t xml:space="preserve">Conclusa la preliminare analisi delle partecipate e la loro distinzione tra partecipazioni dirette, indirette </w:t>
      </w:r>
      <w:r w:rsidR="00E06425">
        <w:rPr>
          <w:rFonts w:ascii="Andalus" w:eastAsia="Calibri" w:hAnsi="Andalus" w:cs="Andalus"/>
          <w:bCs/>
          <w:iCs/>
          <w:color w:val="000000"/>
          <w:kern w:val="3"/>
          <w:sz w:val="24"/>
          <w:szCs w:val="24"/>
          <w:lang w:val="it-IT" w:bidi="en-US"/>
        </w:rPr>
        <w:t>e</w:t>
      </w:r>
      <w:r w:rsidR="00885175">
        <w:rPr>
          <w:rFonts w:ascii="Andalus" w:eastAsia="Calibri" w:hAnsi="Andalus" w:cs="Andalus"/>
          <w:bCs/>
          <w:iCs/>
          <w:color w:val="000000"/>
          <w:kern w:val="3"/>
          <w:sz w:val="24"/>
          <w:szCs w:val="24"/>
          <w:lang w:val="it-IT" w:bidi="en-US"/>
        </w:rPr>
        <w:t>d in assenza di società quotate</w:t>
      </w:r>
      <w:r w:rsidRPr="00FA3B24">
        <w:rPr>
          <w:rFonts w:ascii="Andalus" w:eastAsia="Calibri" w:hAnsi="Andalus" w:cs="Andalus"/>
          <w:bCs/>
          <w:iCs/>
          <w:color w:val="000000"/>
          <w:kern w:val="3"/>
          <w:sz w:val="24"/>
          <w:szCs w:val="24"/>
          <w:lang w:val="it-IT" w:bidi="en-US"/>
        </w:rPr>
        <w:t>, la fase successiva è stata quella di raccogliere per ciascuna di esse quelle informazioni indispensabili per poter predisporre un piano specifico di razionalizzazione.</w:t>
      </w:r>
    </w:p>
    <w:p w:rsidR="008E5854" w:rsidRPr="00FA3B24" w:rsidRDefault="008E5854" w:rsidP="00FA3B24">
      <w:pPr>
        <w:tabs>
          <w:tab w:val="left" w:pos="0"/>
        </w:tabs>
        <w:suppressAutoHyphens/>
        <w:autoSpaceDN w:val="0"/>
        <w:spacing w:after="120"/>
        <w:ind w:firstLine="567"/>
        <w:jc w:val="both"/>
        <w:textAlignment w:val="baseline"/>
        <w:rPr>
          <w:rFonts w:ascii="Andalus" w:eastAsia="Calibri" w:hAnsi="Andalus" w:cs="Andalus"/>
          <w:bCs/>
          <w:iCs/>
          <w:color w:val="000000"/>
          <w:kern w:val="3"/>
          <w:sz w:val="24"/>
          <w:szCs w:val="24"/>
          <w:lang w:val="it-IT" w:bidi="en-US"/>
        </w:rPr>
      </w:pPr>
      <w:r w:rsidRPr="00FA3B24">
        <w:rPr>
          <w:rFonts w:ascii="Andalus" w:eastAsia="Calibri" w:hAnsi="Andalus" w:cs="Andalus"/>
          <w:bCs/>
          <w:iCs/>
          <w:color w:val="000000"/>
          <w:kern w:val="3"/>
          <w:sz w:val="24"/>
          <w:szCs w:val="24"/>
          <w:lang w:val="it-IT" w:bidi="en-US"/>
        </w:rPr>
        <w:t>A riguardo si è provveduto a distinguere tra.</w:t>
      </w:r>
    </w:p>
    <w:p w:rsidR="008E5854" w:rsidRPr="00FA3B24" w:rsidRDefault="008E5854" w:rsidP="00FA3B24">
      <w:pPr>
        <w:numPr>
          <w:ilvl w:val="0"/>
          <w:numId w:val="7"/>
        </w:numPr>
        <w:tabs>
          <w:tab w:val="left" w:pos="0"/>
        </w:tabs>
        <w:suppressAutoHyphens/>
        <w:autoSpaceDN w:val="0"/>
        <w:spacing w:after="120"/>
        <w:ind w:left="284" w:hanging="284"/>
        <w:jc w:val="both"/>
        <w:textAlignment w:val="baseline"/>
        <w:rPr>
          <w:rFonts w:ascii="Andalus" w:eastAsia="Lucida Sans Unicode" w:hAnsi="Andalus" w:cs="Andalus"/>
          <w:color w:val="000000"/>
          <w:kern w:val="3"/>
          <w:sz w:val="24"/>
          <w:szCs w:val="24"/>
          <w:lang w:val="it-IT" w:bidi="en-US"/>
        </w:rPr>
      </w:pPr>
      <w:r w:rsidRPr="00FA3B24">
        <w:rPr>
          <w:rFonts w:ascii="Andalus" w:eastAsia="Lucida Sans Unicode" w:hAnsi="Andalus" w:cs="Andalus"/>
          <w:color w:val="000000"/>
          <w:kern w:val="3"/>
          <w:sz w:val="24"/>
          <w:szCs w:val="24"/>
          <w:lang w:val="it-IT" w:bidi="en-US"/>
        </w:rPr>
        <w:t>società già incluse nel piano di razionalizzazione di cui alla legge 190/2015;</w:t>
      </w:r>
    </w:p>
    <w:p w:rsidR="008E5854" w:rsidRPr="00FA3B24" w:rsidRDefault="008E5854" w:rsidP="00FA3B24">
      <w:pPr>
        <w:numPr>
          <w:ilvl w:val="0"/>
          <w:numId w:val="7"/>
        </w:numPr>
        <w:tabs>
          <w:tab w:val="left" w:pos="0"/>
        </w:tabs>
        <w:suppressAutoHyphens/>
        <w:autoSpaceDN w:val="0"/>
        <w:spacing w:after="120"/>
        <w:ind w:left="284" w:hanging="284"/>
        <w:jc w:val="both"/>
        <w:textAlignment w:val="baseline"/>
        <w:rPr>
          <w:rFonts w:ascii="Andalus" w:eastAsia="Lucida Sans Unicode" w:hAnsi="Andalus" w:cs="Andalus"/>
          <w:kern w:val="3"/>
          <w:sz w:val="24"/>
          <w:szCs w:val="24"/>
          <w:lang w:val="it-IT" w:bidi="en-US"/>
        </w:rPr>
      </w:pPr>
      <w:r w:rsidRPr="00FA3B24">
        <w:rPr>
          <w:rFonts w:ascii="Andalus" w:eastAsia="Lucida Sans Unicode" w:hAnsi="Andalus" w:cs="Andalus"/>
          <w:color w:val="000000"/>
          <w:kern w:val="3"/>
          <w:sz w:val="24"/>
          <w:szCs w:val="24"/>
          <w:lang w:val="it-IT" w:bidi="en-US"/>
        </w:rPr>
        <w:t xml:space="preserve">società non incluse nel precedente piano e da prevedere anche alla luce dell’analisi di cui al punto precedente in quello in corso di predisposizione ai sensi dell’art. 24 </w:t>
      </w:r>
      <w:r w:rsidRPr="00FA3B24">
        <w:rPr>
          <w:rFonts w:ascii="Andalus" w:eastAsia="Lucida Sans Unicode" w:hAnsi="Andalus" w:cs="Andalus"/>
          <w:kern w:val="3"/>
          <w:sz w:val="24"/>
          <w:szCs w:val="24"/>
          <w:lang w:val="it-IT" w:bidi="en-US"/>
        </w:rPr>
        <w:t xml:space="preserve">del </w:t>
      </w:r>
      <w:hyperlink r:id="rId28" w:tgtFrame="BT" w:history="1">
        <w:hyperlink r:id="rId29" w:tgtFrame="BT" w:history="1">
          <w:hyperlink r:id="rId30" w:tgtFrame="BT" w:history="1">
            <w:hyperlink r:id="rId31" w:tgtFrame="BT" w:history="1">
              <w:r w:rsidRPr="00FA3B24">
                <w:rPr>
                  <w:rStyle w:val="Collegamentoipertestuale"/>
                  <w:rFonts w:ascii="Andalus" w:eastAsia="Lucida Sans Unicode" w:hAnsi="Andalus" w:cs="Andalus"/>
                  <w:color w:val="auto"/>
                  <w:kern w:val="3"/>
                  <w:sz w:val="24"/>
                  <w:szCs w:val="24"/>
                  <w:lang w:val="it-IT" w:bidi="en-US"/>
                </w:rPr>
                <w:t>D.Lgs. 175/2016</w:t>
              </w:r>
            </w:hyperlink>
          </w:hyperlink>
        </w:hyperlink>
      </w:hyperlink>
      <w:r w:rsidRPr="00FA3B24">
        <w:rPr>
          <w:rFonts w:ascii="Andalus" w:eastAsia="Lucida Sans Unicode" w:hAnsi="Andalus" w:cs="Andalus"/>
          <w:kern w:val="3"/>
          <w:sz w:val="24"/>
          <w:szCs w:val="24"/>
          <w:lang w:val="it-IT" w:bidi="en-US"/>
        </w:rPr>
        <w:t xml:space="preserve"> e succ. mod.</w:t>
      </w:r>
    </w:p>
    <w:p w:rsidR="008E5854" w:rsidRPr="00FA3B24" w:rsidRDefault="008E5854" w:rsidP="00FA3B24">
      <w:pPr>
        <w:spacing w:after="120"/>
        <w:jc w:val="both"/>
        <w:rPr>
          <w:rFonts w:ascii="Andalus" w:eastAsia="Lucida Sans Unicode" w:hAnsi="Andalus" w:cs="Andalus"/>
          <w:kern w:val="3"/>
          <w:sz w:val="24"/>
          <w:szCs w:val="24"/>
          <w:lang w:val="it-IT" w:bidi="en-US"/>
        </w:rPr>
      </w:pPr>
      <w:r w:rsidRPr="00FA3B24">
        <w:rPr>
          <w:rFonts w:ascii="Andalus" w:eastAsia="Lucida Sans Unicode" w:hAnsi="Andalus" w:cs="Andalus"/>
          <w:color w:val="000000"/>
          <w:kern w:val="3"/>
          <w:sz w:val="24"/>
          <w:szCs w:val="24"/>
          <w:lang w:val="it-IT" w:bidi="en-US"/>
        </w:rPr>
        <w:t xml:space="preserve">A riguardo </w:t>
      </w:r>
      <w:r w:rsidR="00684C28">
        <w:rPr>
          <w:rFonts w:ascii="Andalus" w:eastAsia="Lucida Sans Unicode" w:hAnsi="Andalus" w:cs="Andalus"/>
          <w:color w:val="000000"/>
          <w:kern w:val="3"/>
          <w:sz w:val="24"/>
          <w:szCs w:val="24"/>
          <w:lang w:val="it-IT" w:bidi="en-US"/>
        </w:rPr>
        <w:t xml:space="preserve">si è </w:t>
      </w:r>
      <w:r w:rsidRPr="00FA3B24">
        <w:rPr>
          <w:rFonts w:ascii="Andalus" w:eastAsia="Lucida Sans Unicode" w:hAnsi="Andalus" w:cs="Andalus"/>
          <w:kern w:val="3"/>
          <w:sz w:val="24"/>
          <w:szCs w:val="24"/>
          <w:lang w:val="it-IT" w:bidi="en-US"/>
        </w:rPr>
        <w:t>provveduto</w:t>
      </w:r>
      <w:r w:rsidR="00946FC3">
        <w:rPr>
          <w:rFonts w:ascii="Andalus" w:eastAsia="Lucida Sans Unicode" w:hAnsi="Andalus" w:cs="Andalus"/>
          <w:kern w:val="3"/>
          <w:sz w:val="24"/>
          <w:szCs w:val="24"/>
          <w:lang w:val="it-IT" w:bidi="en-US"/>
        </w:rPr>
        <w:t xml:space="preserve"> p</w:t>
      </w:r>
      <w:r w:rsidR="00684C28">
        <w:rPr>
          <w:rFonts w:ascii="Andalus" w:eastAsia="Lucida Sans Unicode" w:hAnsi="Andalus" w:cs="Andalus"/>
          <w:kern w:val="3"/>
          <w:sz w:val="24"/>
          <w:szCs w:val="24"/>
          <w:lang w:val="it-IT" w:bidi="en-US"/>
        </w:rPr>
        <w:t>er la società Rocca di Cerere</w:t>
      </w:r>
      <w:r w:rsidRPr="00FA3B24">
        <w:rPr>
          <w:rFonts w:ascii="Andalus" w:eastAsia="Lucida Sans Unicode" w:hAnsi="Andalus" w:cs="Andalus"/>
          <w:kern w:val="3"/>
          <w:sz w:val="24"/>
          <w:szCs w:val="24"/>
          <w:lang w:val="it-IT" w:bidi="en-US"/>
        </w:rPr>
        <w:t xml:space="preserve"> rientrante nella revisione </w:t>
      </w:r>
      <w:r w:rsidR="00684C28">
        <w:rPr>
          <w:rFonts w:ascii="Andalus" w:eastAsia="Lucida Sans Unicode" w:hAnsi="Andalus" w:cs="Andalus"/>
          <w:kern w:val="3"/>
          <w:sz w:val="24"/>
          <w:szCs w:val="24"/>
          <w:lang w:val="it-IT" w:bidi="en-US"/>
        </w:rPr>
        <w:t xml:space="preserve"> a predisporre</w:t>
      </w:r>
      <w:r w:rsidRPr="00FA3B24">
        <w:rPr>
          <w:rFonts w:ascii="Andalus" w:eastAsia="Lucida Sans Unicode" w:hAnsi="Andalus" w:cs="Andalus"/>
          <w:kern w:val="3"/>
          <w:sz w:val="24"/>
          <w:szCs w:val="24"/>
          <w:lang w:val="it-IT" w:bidi="en-US"/>
        </w:rPr>
        <w:t>:</w:t>
      </w:r>
    </w:p>
    <w:p w:rsidR="008E5854" w:rsidRPr="00FA3B24" w:rsidRDefault="008E5854" w:rsidP="00FA3B24">
      <w:pPr>
        <w:tabs>
          <w:tab w:val="left" w:pos="0"/>
        </w:tabs>
        <w:suppressAutoHyphens/>
        <w:autoSpaceDN w:val="0"/>
        <w:spacing w:after="120"/>
        <w:ind w:left="227" w:hanging="227"/>
        <w:jc w:val="both"/>
        <w:textAlignment w:val="baseline"/>
        <w:rPr>
          <w:rFonts w:ascii="Andalus" w:hAnsi="Andalus" w:cs="Andalus"/>
          <w:kern w:val="3"/>
          <w:sz w:val="24"/>
          <w:szCs w:val="24"/>
          <w:lang w:val="it-IT" w:bidi="en-US"/>
        </w:rPr>
      </w:pPr>
      <w:r w:rsidRPr="00FA3B24">
        <w:rPr>
          <w:rFonts w:ascii="Andalus" w:hAnsi="Andalus" w:cs="Andalus"/>
          <w:color w:val="000000"/>
          <w:kern w:val="3"/>
          <w:sz w:val="24"/>
          <w:szCs w:val="24"/>
          <w:lang w:val="it-IT" w:bidi="en-US"/>
        </w:rPr>
        <w:t>–</w:t>
      </w:r>
      <w:r w:rsidRPr="00FA3B24">
        <w:rPr>
          <w:rFonts w:ascii="Andalus" w:hAnsi="Andalus" w:cs="Andalus"/>
          <w:color w:val="000000"/>
          <w:kern w:val="3"/>
          <w:sz w:val="24"/>
          <w:szCs w:val="24"/>
          <w:lang w:val="it-IT" w:bidi="en-US"/>
        </w:rPr>
        <w:tab/>
      </w:r>
      <w:r w:rsidRPr="00FA3B24">
        <w:rPr>
          <w:rFonts w:ascii="Andalus" w:hAnsi="Andalus" w:cs="Andalus"/>
          <w:b/>
          <w:kern w:val="3"/>
          <w:sz w:val="24"/>
          <w:szCs w:val="24"/>
          <w:lang w:val="it-IT" w:bidi="en-US"/>
        </w:rPr>
        <w:t>Allegato 1</w:t>
      </w:r>
      <w:r w:rsidRPr="00FA3B24">
        <w:rPr>
          <w:rFonts w:ascii="Andalus" w:hAnsi="Andalus" w:cs="Andalus"/>
          <w:kern w:val="3"/>
          <w:sz w:val="24"/>
          <w:szCs w:val="24"/>
          <w:lang w:val="it-IT" w:bidi="en-US"/>
        </w:rPr>
        <w:t xml:space="preserve"> – </w:t>
      </w:r>
      <w:r w:rsidRPr="00FA3B24">
        <w:rPr>
          <w:rFonts w:ascii="Andalus" w:hAnsi="Andalus" w:cs="Andalus"/>
          <w:i/>
          <w:kern w:val="3"/>
          <w:sz w:val="24"/>
          <w:szCs w:val="24"/>
          <w:lang w:val="it-IT" w:bidi="en-US"/>
        </w:rPr>
        <w:t>Scheda di rilevazione</w:t>
      </w:r>
      <w:r w:rsidR="008B6033">
        <w:rPr>
          <w:rFonts w:ascii="Andalus" w:hAnsi="Andalus" w:cs="Andalus"/>
          <w:i/>
          <w:kern w:val="3"/>
          <w:sz w:val="24"/>
          <w:szCs w:val="24"/>
          <w:lang w:val="it-IT" w:bidi="en-US"/>
        </w:rPr>
        <w:t xml:space="preserve"> </w:t>
      </w:r>
      <w:r w:rsidRPr="00FA3B24">
        <w:rPr>
          <w:rFonts w:ascii="Andalus" w:eastAsia="Lucida Sans Unicode" w:hAnsi="Andalus" w:cs="Andalus"/>
          <w:kern w:val="3"/>
          <w:sz w:val="24"/>
          <w:szCs w:val="24"/>
          <w:lang w:val="it-IT" w:bidi="en-US"/>
        </w:rPr>
        <w:t xml:space="preserve">compilabile in formato word da utilizzare per acquisire tutte le informazioni richieste dalla Banca Dati Partecipazioni presso il MEF – Dipartimento del Tesoro. Le schede estratte dall’applicativo </w:t>
      </w:r>
      <w:r w:rsidRPr="00FA3B24">
        <w:rPr>
          <w:rFonts w:ascii="Andalus" w:eastAsia="Lucida Sans Unicode" w:hAnsi="Andalus" w:cs="Andalus"/>
          <w:i/>
          <w:kern w:val="3"/>
          <w:sz w:val="24"/>
          <w:szCs w:val="24"/>
          <w:lang w:val="it-IT" w:bidi="en-US"/>
        </w:rPr>
        <w:t>Partecipazioni</w:t>
      </w:r>
      <w:r w:rsidRPr="00FA3B24">
        <w:rPr>
          <w:rFonts w:ascii="Andalus" w:eastAsia="Lucida Sans Unicode" w:hAnsi="Andalus" w:cs="Andalus"/>
          <w:kern w:val="3"/>
          <w:sz w:val="24"/>
          <w:szCs w:val="24"/>
          <w:lang w:val="it-IT" w:bidi="en-US"/>
        </w:rPr>
        <w:t xml:space="preserve">  del Portale TESORO riportano le informazioni già inserite in occasione di precedenti rilevazioni. Esse potevano essere confermate, modificate e integrate ai fini dell’adempimento richiesto dal T.U., rendendo più semplice il processo di comunicazione dei dati.</w:t>
      </w:r>
    </w:p>
    <w:p w:rsidR="008E5854" w:rsidRPr="00FA3B24" w:rsidRDefault="008E5854" w:rsidP="00FA3B24">
      <w:pPr>
        <w:tabs>
          <w:tab w:val="left" w:pos="0"/>
        </w:tabs>
        <w:suppressAutoHyphens/>
        <w:autoSpaceDN w:val="0"/>
        <w:spacing w:after="120"/>
        <w:ind w:left="227" w:hanging="227"/>
        <w:jc w:val="both"/>
        <w:textAlignment w:val="baseline"/>
        <w:rPr>
          <w:rFonts w:ascii="Andalus" w:hAnsi="Andalus" w:cs="Andalus"/>
          <w:kern w:val="3"/>
          <w:sz w:val="24"/>
          <w:szCs w:val="24"/>
          <w:lang w:val="it-IT" w:bidi="en-US"/>
        </w:rPr>
      </w:pPr>
      <w:r w:rsidRPr="00FA3B24">
        <w:rPr>
          <w:rFonts w:ascii="Andalus" w:hAnsi="Andalus" w:cs="Andalus"/>
          <w:kern w:val="3"/>
          <w:sz w:val="24"/>
          <w:szCs w:val="24"/>
          <w:lang w:val="it-IT" w:bidi="en-US"/>
        </w:rPr>
        <w:t>–</w:t>
      </w:r>
      <w:r w:rsidRPr="00FA3B24">
        <w:rPr>
          <w:rFonts w:ascii="Andalus" w:hAnsi="Andalus" w:cs="Andalus"/>
          <w:kern w:val="3"/>
          <w:sz w:val="24"/>
          <w:szCs w:val="24"/>
          <w:lang w:val="it-IT" w:bidi="en-US"/>
        </w:rPr>
        <w:tab/>
      </w:r>
      <w:r w:rsidRPr="00FA3B24">
        <w:rPr>
          <w:rFonts w:ascii="Andalus" w:hAnsi="Andalus" w:cs="Andalus"/>
          <w:b/>
          <w:kern w:val="3"/>
          <w:sz w:val="24"/>
          <w:szCs w:val="24"/>
          <w:lang w:val="it-IT" w:bidi="en-US"/>
        </w:rPr>
        <w:t>Allegato 2</w:t>
      </w:r>
      <w:r w:rsidRPr="00FA3B24">
        <w:rPr>
          <w:rFonts w:ascii="Andalus" w:hAnsi="Andalus" w:cs="Andalus"/>
          <w:kern w:val="3"/>
          <w:sz w:val="24"/>
          <w:szCs w:val="24"/>
          <w:lang w:val="it-IT" w:bidi="en-US"/>
        </w:rPr>
        <w:t xml:space="preserve"> – Nota integrativa riferita ai requisiti di cui all’art. 20 del Decreto Legislativo 175/2016</w:t>
      </w:r>
      <w:r w:rsidRPr="00FA3B24">
        <w:rPr>
          <w:rFonts w:ascii="Andalus" w:eastAsia="Calibri" w:hAnsi="Andalus" w:cs="Andalus"/>
          <w:kern w:val="3"/>
          <w:sz w:val="24"/>
          <w:szCs w:val="24"/>
          <w:lang w:val="it-IT" w:bidi="en-US"/>
        </w:rPr>
        <w:t>.</w:t>
      </w:r>
    </w:p>
    <w:p w:rsidR="008E5854" w:rsidRPr="00FA3B24" w:rsidRDefault="00684C28" w:rsidP="00FA3B24">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Pr>
          <w:rFonts w:ascii="Andalus" w:eastAsia="Lucida Sans Unicode" w:hAnsi="Andalus" w:cs="Andalus"/>
          <w:color w:val="000000"/>
          <w:kern w:val="3"/>
          <w:sz w:val="24"/>
          <w:szCs w:val="24"/>
          <w:lang w:val="it-IT" w:bidi="en-US"/>
        </w:rPr>
        <w:t>Per la</w:t>
      </w:r>
      <w:r w:rsidR="008B6033">
        <w:rPr>
          <w:rFonts w:ascii="Andalus" w:eastAsia="Lucida Sans Unicode" w:hAnsi="Andalus" w:cs="Andalus"/>
          <w:color w:val="000000"/>
          <w:kern w:val="3"/>
          <w:sz w:val="24"/>
          <w:szCs w:val="24"/>
          <w:lang w:val="it-IT" w:bidi="en-US"/>
        </w:rPr>
        <w:t xml:space="preserve"> </w:t>
      </w:r>
      <w:r w:rsidR="00397810" w:rsidRPr="00FA3B24">
        <w:rPr>
          <w:rFonts w:ascii="Andalus" w:hAnsi="Andalus" w:cs="Andalus"/>
          <w:sz w:val="24"/>
          <w:szCs w:val="24"/>
          <w:lang w:val="it-IT"/>
        </w:rPr>
        <w:t>Società Cons</w:t>
      </w:r>
      <w:r w:rsidR="00E06425">
        <w:rPr>
          <w:rFonts w:ascii="Andalus" w:hAnsi="Andalus" w:cs="Andalus"/>
          <w:sz w:val="24"/>
          <w:szCs w:val="24"/>
          <w:lang w:val="it-IT"/>
        </w:rPr>
        <w:t>ortile mista pubblico-privato a</w:t>
      </w:r>
      <w:r w:rsidR="008B6033">
        <w:rPr>
          <w:rFonts w:ascii="Andalus" w:hAnsi="Andalus" w:cs="Andalus"/>
          <w:sz w:val="24"/>
          <w:szCs w:val="24"/>
          <w:lang w:val="it-IT"/>
        </w:rPr>
        <w:t>.</w:t>
      </w:r>
      <w:r w:rsidR="00E06425">
        <w:rPr>
          <w:rFonts w:ascii="Andalus" w:hAnsi="Andalus" w:cs="Andalus"/>
          <w:sz w:val="24"/>
          <w:szCs w:val="24"/>
          <w:lang w:val="it-IT"/>
        </w:rPr>
        <w:t>r</w:t>
      </w:r>
      <w:r w:rsidR="008B6033">
        <w:rPr>
          <w:rFonts w:ascii="Andalus" w:hAnsi="Andalus" w:cs="Andalus"/>
          <w:sz w:val="24"/>
          <w:szCs w:val="24"/>
          <w:lang w:val="it-IT"/>
        </w:rPr>
        <w:t>.</w:t>
      </w:r>
      <w:r w:rsidR="00E06425">
        <w:rPr>
          <w:rFonts w:ascii="Andalus" w:hAnsi="Andalus" w:cs="Andalus"/>
          <w:sz w:val="24"/>
          <w:szCs w:val="24"/>
          <w:lang w:val="it-IT"/>
        </w:rPr>
        <w:t xml:space="preserve">l Rocca di </w:t>
      </w:r>
      <w:r w:rsidR="00397810" w:rsidRPr="00FA3B24">
        <w:rPr>
          <w:rFonts w:ascii="Andalus" w:hAnsi="Andalus" w:cs="Andalus"/>
          <w:sz w:val="24"/>
          <w:szCs w:val="24"/>
          <w:lang w:val="it-IT"/>
        </w:rPr>
        <w:t>Cerere</w:t>
      </w:r>
      <w:r w:rsidR="008B6033">
        <w:rPr>
          <w:rFonts w:ascii="Andalus" w:hAnsi="Andalus" w:cs="Andalus"/>
          <w:sz w:val="24"/>
          <w:szCs w:val="24"/>
          <w:lang w:val="it-IT"/>
        </w:rPr>
        <w:t xml:space="preserve"> </w:t>
      </w:r>
      <w:r>
        <w:rPr>
          <w:rFonts w:ascii="Andalus" w:eastAsia="Lucida Sans Unicode" w:hAnsi="Andalus" w:cs="Andalus"/>
          <w:color w:val="000000"/>
          <w:kern w:val="3"/>
          <w:sz w:val="24"/>
          <w:szCs w:val="24"/>
          <w:lang w:val="it-IT" w:bidi="en-US"/>
        </w:rPr>
        <w:t>s</w:t>
      </w:r>
      <w:r w:rsidR="00397810" w:rsidRPr="00FA3B24">
        <w:rPr>
          <w:rFonts w:ascii="Andalus" w:eastAsia="Lucida Sans Unicode" w:hAnsi="Andalus" w:cs="Andalus"/>
          <w:color w:val="000000"/>
          <w:kern w:val="3"/>
          <w:sz w:val="24"/>
          <w:szCs w:val="24"/>
          <w:lang w:val="it-IT" w:bidi="en-US"/>
        </w:rPr>
        <w:t xml:space="preserve">ulla base </w:t>
      </w:r>
      <w:r w:rsidR="008E5854" w:rsidRPr="00FA3B24">
        <w:rPr>
          <w:rFonts w:ascii="Andalus" w:eastAsia="Lucida Sans Unicode" w:hAnsi="Andalus" w:cs="Andalus"/>
          <w:color w:val="000000"/>
          <w:kern w:val="3"/>
          <w:sz w:val="24"/>
          <w:szCs w:val="24"/>
          <w:lang w:val="it-IT" w:bidi="en-US"/>
        </w:rPr>
        <w:t xml:space="preserve">delle informazioni raccolte </w:t>
      </w:r>
      <w:r w:rsidR="00397810" w:rsidRPr="00FA3B24">
        <w:rPr>
          <w:rFonts w:ascii="Andalus" w:eastAsia="Lucida Sans Unicode" w:hAnsi="Andalus" w:cs="Andalus"/>
          <w:color w:val="000000"/>
          <w:kern w:val="3"/>
          <w:sz w:val="24"/>
          <w:szCs w:val="24"/>
          <w:lang w:val="it-IT" w:bidi="en-US"/>
        </w:rPr>
        <w:t xml:space="preserve">si è costruito </w:t>
      </w:r>
      <w:r w:rsidR="008E5854" w:rsidRPr="00FA3B24">
        <w:rPr>
          <w:rFonts w:ascii="Andalus" w:eastAsia="Lucida Sans Unicode" w:hAnsi="Andalus" w:cs="Andalus"/>
          <w:color w:val="000000"/>
          <w:kern w:val="3"/>
          <w:sz w:val="24"/>
          <w:szCs w:val="24"/>
          <w:lang w:val="it-IT" w:bidi="en-US"/>
        </w:rPr>
        <w:t>il Piano di razionalizzazione straordinario di cui alla delibera in esame le cui risultanze sono di seguito riportate.</w:t>
      </w:r>
    </w:p>
    <w:p w:rsidR="008E5854" w:rsidRPr="00FA3B24" w:rsidRDefault="008E5854" w:rsidP="00FA3B24">
      <w:pPr>
        <w:tabs>
          <w:tab w:val="left" w:pos="0"/>
        </w:tabs>
        <w:suppressAutoHyphens/>
        <w:autoSpaceDN w:val="0"/>
        <w:spacing w:after="120"/>
        <w:jc w:val="both"/>
        <w:textAlignment w:val="baseline"/>
        <w:rPr>
          <w:rFonts w:ascii="Andalus" w:eastAsia="Lucida Sans Unicode" w:hAnsi="Andalus" w:cs="Andalus"/>
          <w:b/>
          <w:color w:val="000000"/>
          <w:kern w:val="3"/>
          <w:sz w:val="24"/>
          <w:szCs w:val="24"/>
          <w:lang w:val="it-IT" w:bidi="en-US"/>
        </w:rPr>
      </w:pPr>
      <w:r w:rsidRPr="00FA3B24">
        <w:rPr>
          <w:rFonts w:ascii="Andalus" w:eastAsia="Lucida Sans Unicode" w:hAnsi="Andalus" w:cs="Andalus"/>
          <w:b/>
          <w:color w:val="000000"/>
          <w:kern w:val="3"/>
          <w:sz w:val="24"/>
          <w:szCs w:val="24"/>
          <w:lang w:val="it-IT" w:bidi="en-US"/>
        </w:rPr>
        <w:t xml:space="preserve">Le risultanze del Piano </w:t>
      </w:r>
    </w:p>
    <w:p w:rsidR="008E5854" w:rsidRPr="00FA3B24" w:rsidRDefault="008E5854" w:rsidP="00FA3B24">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FA3B24">
        <w:rPr>
          <w:rFonts w:ascii="Andalus" w:eastAsia="Lucida Sans Unicode" w:hAnsi="Andalus" w:cs="Andalus"/>
          <w:color w:val="000000"/>
          <w:kern w:val="3"/>
          <w:sz w:val="24"/>
          <w:szCs w:val="24"/>
          <w:lang w:val="it-IT" w:bidi="en-US"/>
        </w:rPr>
        <w:t>Le risultanze finali dell’attività di ricognizione e di successiva razionalizzazione delle partecipazioni dirette ed indirette possedute dall’ente sono riportate distinte per tipologia di interventi da porre in essere nelle tabelle che seguono.</w:t>
      </w:r>
    </w:p>
    <w:p w:rsidR="008E5854" w:rsidRDefault="008E5854" w:rsidP="00FA3B24">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bidi="en-US"/>
        </w:rPr>
      </w:pPr>
      <w:r w:rsidRPr="00FA3B24">
        <w:rPr>
          <w:rFonts w:ascii="Andalus" w:eastAsia="Lucida Sans Unicode" w:hAnsi="Andalus" w:cs="Andalus"/>
          <w:color w:val="000000"/>
          <w:kern w:val="3"/>
          <w:sz w:val="24"/>
          <w:szCs w:val="24"/>
          <w:lang w:bidi="en-US"/>
        </w:rPr>
        <w:t>In particolare potremmo distinguere:</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668"/>
        <w:gridCol w:w="4961"/>
        <w:gridCol w:w="2126"/>
        <w:gridCol w:w="1099"/>
      </w:tblGrid>
      <w:tr w:rsidR="008E5854" w:rsidRPr="00DF29E5" w:rsidTr="00484D3F">
        <w:trPr>
          <w:jc w:val="center"/>
        </w:trPr>
        <w:tc>
          <w:tcPr>
            <w:tcW w:w="1668" w:type="dxa"/>
            <w:shd w:val="clear" w:color="auto" w:fill="FBD4B4" w:themeFill="accent6" w:themeFillTint="66"/>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sz w:val="24"/>
                <w:szCs w:val="24"/>
                <w:lang w:bidi="en-US"/>
              </w:rPr>
            </w:pPr>
          </w:p>
        </w:tc>
        <w:tc>
          <w:tcPr>
            <w:tcW w:w="4961" w:type="dxa"/>
            <w:shd w:val="clear" w:color="auto" w:fill="FBD4B4" w:themeFill="accent6" w:themeFillTint="66"/>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sz w:val="24"/>
                <w:szCs w:val="24"/>
                <w:lang w:bidi="en-US"/>
              </w:rPr>
            </w:pPr>
            <w:r w:rsidRPr="00DF29E5">
              <w:rPr>
                <w:rFonts w:ascii="Andalus" w:eastAsia="Calibri" w:hAnsi="Andalus" w:cs="Andalus"/>
                <w:b/>
                <w:color w:val="000000"/>
                <w:kern w:val="3"/>
                <w:sz w:val="24"/>
                <w:szCs w:val="24"/>
                <w:lang w:bidi="en-US"/>
              </w:rPr>
              <w:t>Tipologie di azioni</w:t>
            </w:r>
          </w:p>
        </w:tc>
        <w:tc>
          <w:tcPr>
            <w:tcW w:w="2126" w:type="dxa"/>
            <w:shd w:val="clear" w:color="auto" w:fill="FBD4B4" w:themeFill="accent6" w:themeFillTint="66"/>
            <w:vAlign w:val="center"/>
          </w:tcPr>
          <w:p w:rsidR="002908AB"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sz w:val="24"/>
                <w:szCs w:val="24"/>
                <w:lang w:bidi="en-US"/>
              </w:rPr>
            </w:pPr>
            <w:r w:rsidRPr="00DF29E5">
              <w:rPr>
                <w:rFonts w:ascii="Andalus" w:eastAsia="Calibri" w:hAnsi="Andalus" w:cs="Andalus"/>
                <w:b/>
                <w:color w:val="000000"/>
                <w:kern w:val="3"/>
                <w:sz w:val="24"/>
                <w:szCs w:val="24"/>
                <w:lang w:bidi="en-US"/>
              </w:rPr>
              <w:t>N.</w:t>
            </w:r>
          </w:p>
          <w:p w:rsidR="008E5854" w:rsidRPr="00DF29E5" w:rsidRDefault="008E5854" w:rsidP="002908AB">
            <w:pPr>
              <w:tabs>
                <w:tab w:val="left" w:pos="0"/>
              </w:tabs>
              <w:suppressAutoHyphens/>
              <w:autoSpaceDN w:val="0"/>
              <w:spacing w:before="30" w:after="30"/>
              <w:jc w:val="center"/>
              <w:textAlignment w:val="baseline"/>
              <w:rPr>
                <w:rFonts w:ascii="Andalus" w:eastAsia="Calibri" w:hAnsi="Andalus" w:cs="Andalus"/>
                <w:b/>
                <w:color w:val="000000"/>
                <w:kern w:val="3"/>
                <w:sz w:val="24"/>
                <w:szCs w:val="24"/>
                <w:lang w:bidi="en-US"/>
              </w:rPr>
            </w:pPr>
            <w:r w:rsidRPr="00DF29E5">
              <w:rPr>
                <w:rFonts w:ascii="Andalus" w:eastAsia="Calibri" w:hAnsi="Andalus" w:cs="Andalus"/>
                <w:b/>
                <w:color w:val="000000"/>
                <w:kern w:val="3"/>
                <w:sz w:val="24"/>
                <w:szCs w:val="24"/>
                <w:lang w:bidi="en-US"/>
              </w:rPr>
              <w:t xml:space="preserve">di </w:t>
            </w:r>
            <w:r w:rsidR="002908AB" w:rsidRPr="00DF29E5">
              <w:rPr>
                <w:rFonts w:ascii="Andalus" w:eastAsia="Calibri" w:hAnsi="Andalus" w:cs="Andalus"/>
                <w:b/>
                <w:color w:val="000000"/>
                <w:kern w:val="3"/>
                <w:sz w:val="24"/>
                <w:szCs w:val="24"/>
                <w:lang w:bidi="en-US"/>
              </w:rPr>
              <w:t>p</w:t>
            </w:r>
            <w:r w:rsidRPr="00DF29E5">
              <w:rPr>
                <w:rFonts w:ascii="Andalus" w:eastAsia="Calibri" w:hAnsi="Andalus" w:cs="Andalus"/>
                <w:b/>
                <w:color w:val="000000"/>
                <w:kern w:val="3"/>
                <w:sz w:val="24"/>
                <w:szCs w:val="24"/>
                <w:lang w:bidi="en-US"/>
              </w:rPr>
              <w:t>artecipazioni</w:t>
            </w:r>
          </w:p>
        </w:tc>
        <w:tc>
          <w:tcPr>
            <w:tcW w:w="1099" w:type="dxa"/>
            <w:shd w:val="clear" w:color="auto" w:fill="FBD4B4" w:themeFill="accent6" w:themeFillTint="66"/>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sz w:val="24"/>
                <w:szCs w:val="24"/>
                <w:lang w:bidi="en-US"/>
              </w:rPr>
            </w:pPr>
            <w:r w:rsidRPr="00DF29E5">
              <w:rPr>
                <w:rFonts w:ascii="Andalus" w:eastAsia="Calibri" w:hAnsi="Andalus" w:cs="Andalus"/>
                <w:b/>
                <w:color w:val="000000"/>
                <w:kern w:val="3"/>
                <w:sz w:val="24"/>
                <w:szCs w:val="24"/>
                <w:lang w:bidi="en-US"/>
              </w:rPr>
              <w:t>Tabella</w:t>
            </w:r>
          </w:p>
        </w:tc>
      </w:tr>
      <w:tr w:rsidR="008E5854" w:rsidRPr="00DF29E5" w:rsidTr="00000582">
        <w:trPr>
          <w:cantSplit/>
          <w:jc w:val="center"/>
        </w:trPr>
        <w:tc>
          <w:tcPr>
            <w:tcW w:w="1668" w:type="dxa"/>
            <w:vMerge w:val="restart"/>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lang w:bidi="en-US"/>
              </w:rPr>
            </w:pPr>
            <w:r w:rsidRPr="00DF29E5">
              <w:rPr>
                <w:rFonts w:ascii="Andalus" w:eastAsia="Calibri" w:hAnsi="Andalus" w:cs="Andalus"/>
                <w:b/>
                <w:color w:val="000000"/>
                <w:kern w:val="3"/>
                <w:lang w:bidi="en-US"/>
              </w:rPr>
              <w:t>Partecipazioni da conservare</w:t>
            </w:r>
          </w:p>
        </w:tc>
        <w:tc>
          <w:tcPr>
            <w:tcW w:w="4961" w:type="dxa"/>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Partecipazioni da mantenere senza azioni di razionalizzazione</w:t>
            </w:r>
          </w:p>
        </w:tc>
        <w:tc>
          <w:tcPr>
            <w:tcW w:w="2126" w:type="dxa"/>
            <w:vAlign w:val="center"/>
          </w:tcPr>
          <w:p w:rsidR="008E5854" w:rsidRPr="00DF29E5" w:rsidRDefault="00397810" w:rsidP="00716BA6">
            <w:pPr>
              <w:tabs>
                <w:tab w:val="left" w:pos="0"/>
              </w:tabs>
              <w:suppressAutoHyphens/>
              <w:autoSpaceDN w:val="0"/>
              <w:spacing w:before="30" w:after="30"/>
              <w:jc w:val="center"/>
              <w:textAlignment w:val="baseline"/>
              <w:rPr>
                <w:rFonts w:ascii="Andalus" w:eastAsia="Calibri" w:hAnsi="Andalus" w:cs="Andalus"/>
                <w:b/>
                <w:color w:val="000000"/>
                <w:kern w:val="3"/>
                <w:lang w:val="it-IT" w:bidi="en-US"/>
              </w:rPr>
            </w:pPr>
            <w:r w:rsidRPr="00DF29E5">
              <w:rPr>
                <w:rFonts w:ascii="Andalus" w:eastAsia="Calibri" w:hAnsi="Andalus" w:cs="Andalus"/>
                <w:b/>
                <w:color w:val="000000"/>
                <w:kern w:val="3"/>
                <w:lang w:val="it-IT" w:bidi="en-US"/>
              </w:rPr>
              <w:t>Si</w:t>
            </w:r>
          </w:p>
        </w:tc>
        <w:tc>
          <w:tcPr>
            <w:tcW w:w="1099" w:type="dxa"/>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color w:val="000000"/>
                <w:kern w:val="3"/>
                <w:lang w:bidi="en-US"/>
              </w:rPr>
            </w:pPr>
            <w:r w:rsidRPr="00DF29E5">
              <w:rPr>
                <w:rFonts w:ascii="Andalus" w:eastAsia="Calibri" w:hAnsi="Andalus" w:cs="Andalus"/>
                <w:color w:val="000000"/>
                <w:kern w:val="3"/>
                <w:lang w:bidi="en-US"/>
              </w:rPr>
              <w:t>TAB A</w:t>
            </w:r>
          </w:p>
        </w:tc>
      </w:tr>
      <w:tr w:rsidR="008E5854" w:rsidRPr="00DF29E5" w:rsidTr="00000582">
        <w:trPr>
          <w:cantSplit/>
          <w:jc w:val="center"/>
        </w:trPr>
        <w:tc>
          <w:tcPr>
            <w:tcW w:w="1668" w:type="dxa"/>
            <w:vMerge/>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bidi="en-US"/>
              </w:rPr>
            </w:pPr>
          </w:p>
        </w:tc>
        <w:tc>
          <w:tcPr>
            <w:tcW w:w="4961" w:type="dxa"/>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Partecipazioni da mantenere con azioni di razionalizzazione</w:t>
            </w:r>
          </w:p>
        </w:tc>
        <w:tc>
          <w:tcPr>
            <w:tcW w:w="2126" w:type="dxa"/>
            <w:vAlign w:val="center"/>
          </w:tcPr>
          <w:p w:rsidR="008E5854" w:rsidRPr="00DF29E5" w:rsidRDefault="00397810" w:rsidP="00716BA6">
            <w:pPr>
              <w:tabs>
                <w:tab w:val="left" w:pos="0"/>
              </w:tabs>
              <w:suppressAutoHyphens/>
              <w:autoSpaceDN w:val="0"/>
              <w:spacing w:before="30" w:after="30"/>
              <w:jc w:val="center"/>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No</w:t>
            </w:r>
          </w:p>
        </w:tc>
        <w:tc>
          <w:tcPr>
            <w:tcW w:w="1099" w:type="dxa"/>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color w:val="000000"/>
                <w:kern w:val="3"/>
                <w:lang w:bidi="en-US"/>
              </w:rPr>
            </w:pPr>
            <w:r w:rsidRPr="00DF29E5">
              <w:rPr>
                <w:rFonts w:ascii="Andalus" w:eastAsia="Calibri" w:hAnsi="Andalus" w:cs="Andalus"/>
                <w:color w:val="000000"/>
                <w:kern w:val="3"/>
                <w:lang w:bidi="en-US"/>
              </w:rPr>
              <w:t>TAB B</w:t>
            </w:r>
          </w:p>
        </w:tc>
      </w:tr>
      <w:tr w:rsidR="008E5854" w:rsidRPr="00DF29E5" w:rsidTr="00000582">
        <w:trPr>
          <w:cantSplit/>
          <w:jc w:val="center"/>
        </w:trPr>
        <w:tc>
          <w:tcPr>
            <w:tcW w:w="1668" w:type="dxa"/>
            <w:vMerge w:val="restart"/>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b/>
                <w:color w:val="000000"/>
                <w:kern w:val="3"/>
                <w:lang w:bidi="en-US"/>
              </w:rPr>
            </w:pPr>
            <w:r w:rsidRPr="00DF29E5">
              <w:rPr>
                <w:rFonts w:ascii="Andalus" w:eastAsia="Calibri" w:hAnsi="Andalus" w:cs="Andalus"/>
                <w:b/>
                <w:color w:val="000000"/>
                <w:kern w:val="3"/>
                <w:lang w:bidi="en-US"/>
              </w:rPr>
              <w:t>Partecipazioni da alienare</w:t>
            </w:r>
          </w:p>
        </w:tc>
        <w:tc>
          <w:tcPr>
            <w:tcW w:w="4961" w:type="dxa"/>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 xml:space="preserve">Partecipazioni per le quali si prevede cessione/alienazione di quote </w:t>
            </w:r>
          </w:p>
        </w:tc>
        <w:tc>
          <w:tcPr>
            <w:tcW w:w="2126" w:type="dxa"/>
            <w:vAlign w:val="center"/>
          </w:tcPr>
          <w:p w:rsidR="008E5854" w:rsidRPr="00487D65" w:rsidRDefault="00397810" w:rsidP="00716BA6">
            <w:pPr>
              <w:tabs>
                <w:tab w:val="left" w:pos="0"/>
              </w:tabs>
              <w:suppressAutoHyphens/>
              <w:autoSpaceDN w:val="0"/>
              <w:spacing w:before="30" w:after="30"/>
              <w:jc w:val="center"/>
              <w:textAlignment w:val="baseline"/>
              <w:rPr>
                <w:rFonts w:ascii="Andalus" w:eastAsia="Calibri" w:hAnsi="Andalus" w:cs="Andalus"/>
                <w:color w:val="000000"/>
                <w:kern w:val="3"/>
                <w:lang w:val="it-IT" w:bidi="en-US"/>
              </w:rPr>
            </w:pPr>
            <w:r w:rsidRPr="00487D65">
              <w:rPr>
                <w:rFonts w:ascii="Andalus" w:eastAsia="Calibri" w:hAnsi="Andalus" w:cs="Andalus"/>
                <w:color w:val="000000"/>
                <w:kern w:val="3"/>
                <w:lang w:val="it-IT" w:bidi="en-US"/>
              </w:rPr>
              <w:t>No</w:t>
            </w:r>
          </w:p>
        </w:tc>
        <w:tc>
          <w:tcPr>
            <w:tcW w:w="1099" w:type="dxa"/>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color w:val="000000"/>
                <w:kern w:val="3"/>
                <w:lang w:bidi="en-US"/>
              </w:rPr>
            </w:pPr>
            <w:r w:rsidRPr="00DF29E5">
              <w:rPr>
                <w:rFonts w:ascii="Andalus" w:eastAsia="Calibri" w:hAnsi="Andalus" w:cs="Andalus"/>
                <w:color w:val="000000"/>
                <w:kern w:val="3"/>
                <w:lang w:bidi="en-US"/>
              </w:rPr>
              <w:t>TAB C</w:t>
            </w:r>
          </w:p>
        </w:tc>
      </w:tr>
      <w:tr w:rsidR="008E5854" w:rsidRPr="00DF29E5" w:rsidTr="00000582">
        <w:trPr>
          <w:cantSplit/>
          <w:jc w:val="center"/>
        </w:trPr>
        <w:tc>
          <w:tcPr>
            <w:tcW w:w="1668" w:type="dxa"/>
            <w:vMerge/>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bidi="en-US"/>
              </w:rPr>
            </w:pPr>
          </w:p>
        </w:tc>
        <w:tc>
          <w:tcPr>
            <w:tcW w:w="4961" w:type="dxa"/>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Partecipazioni per le quali si prevede liquidazione della società</w:t>
            </w:r>
          </w:p>
        </w:tc>
        <w:tc>
          <w:tcPr>
            <w:tcW w:w="2126" w:type="dxa"/>
            <w:vAlign w:val="center"/>
          </w:tcPr>
          <w:p w:rsidR="008E5854" w:rsidRPr="008B6033" w:rsidRDefault="008B6033" w:rsidP="00716BA6">
            <w:pPr>
              <w:tabs>
                <w:tab w:val="left" w:pos="0"/>
              </w:tabs>
              <w:suppressAutoHyphens/>
              <w:autoSpaceDN w:val="0"/>
              <w:spacing w:before="30" w:after="30"/>
              <w:jc w:val="center"/>
              <w:textAlignment w:val="baseline"/>
              <w:rPr>
                <w:rFonts w:ascii="Andalus" w:eastAsia="Calibri" w:hAnsi="Andalus" w:cs="Andalus"/>
                <w:color w:val="000000"/>
                <w:kern w:val="3"/>
                <w:sz w:val="18"/>
                <w:szCs w:val="18"/>
                <w:lang w:val="it-IT" w:bidi="en-US"/>
              </w:rPr>
            </w:pPr>
            <w:r w:rsidRPr="00487D65">
              <w:rPr>
                <w:rFonts w:ascii="Andalus" w:eastAsia="Calibri" w:hAnsi="Andalus" w:cs="Andalus"/>
                <w:color w:val="000000"/>
                <w:kern w:val="3"/>
                <w:lang w:val="it-IT" w:bidi="en-US"/>
              </w:rPr>
              <w:t>No</w:t>
            </w:r>
          </w:p>
        </w:tc>
        <w:tc>
          <w:tcPr>
            <w:tcW w:w="1099" w:type="dxa"/>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color w:val="000000"/>
                <w:kern w:val="3"/>
                <w:lang w:bidi="en-US"/>
              </w:rPr>
            </w:pPr>
            <w:r w:rsidRPr="00DF29E5">
              <w:rPr>
                <w:rFonts w:ascii="Andalus" w:eastAsia="Calibri" w:hAnsi="Andalus" w:cs="Andalus"/>
                <w:color w:val="000000"/>
                <w:kern w:val="3"/>
                <w:lang w:bidi="en-US"/>
              </w:rPr>
              <w:t>TAB D</w:t>
            </w:r>
          </w:p>
        </w:tc>
      </w:tr>
      <w:tr w:rsidR="008E5854" w:rsidRPr="00DF29E5" w:rsidTr="00000582">
        <w:trPr>
          <w:cantSplit/>
          <w:jc w:val="center"/>
        </w:trPr>
        <w:tc>
          <w:tcPr>
            <w:tcW w:w="1668" w:type="dxa"/>
            <w:vMerge/>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bidi="en-US"/>
              </w:rPr>
            </w:pPr>
          </w:p>
        </w:tc>
        <w:tc>
          <w:tcPr>
            <w:tcW w:w="4961" w:type="dxa"/>
            <w:tcBorders>
              <w:top w:val="single" w:sz="4" w:space="0" w:color="000000"/>
              <w:bottom w:val="single" w:sz="4" w:space="0" w:color="000000"/>
              <w:right w:val="single" w:sz="4" w:space="0" w:color="000000"/>
            </w:tcBorders>
            <w:vAlign w:val="center"/>
          </w:tcPr>
          <w:p w:rsidR="008E5854" w:rsidRPr="00DF29E5" w:rsidRDefault="008E5854" w:rsidP="00716BA6">
            <w:pPr>
              <w:tabs>
                <w:tab w:val="left" w:pos="0"/>
              </w:tabs>
              <w:suppressAutoHyphens/>
              <w:autoSpaceDN w:val="0"/>
              <w:spacing w:before="30" w:after="30"/>
              <w:jc w:val="both"/>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Partecipazioni per le quali si prevede la fusione/incorporazione con altra società</w:t>
            </w:r>
          </w:p>
        </w:tc>
        <w:tc>
          <w:tcPr>
            <w:tcW w:w="2126" w:type="dxa"/>
            <w:tcBorders>
              <w:top w:val="single" w:sz="4" w:space="0" w:color="000000"/>
              <w:left w:val="single" w:sz="4" w:space="0" w:color="000000"/>
              <w:bottom w:val="single" w:sz="4" w:space="0" w:color="000000"/>
              <w:right w:val="single" w:sz="4" w:space="0" w:color="000000"/>
            </w:tcBorders>
            <w:vAlign w:val="center"/>
          </w:tcPr>
          <w:p w:rsidR="008E5854" w:rsidRPr="00DF29E5" w:rsidRDefault="00397810" w:rsidP="00716BA6">
            <w:pPr>
              <w:tabs>
                <w:tab w:val="left" w:pos="0"/>
              </w:tabs>
              <w:suppressAutoHyphens/>
              <w:autoSpaceDN w:val="0"/>
              <w:spacing w:before="30" w:after="30"/>
              <w:jc w:val="center"/>
              <w:textAlignment w:val="baseline"/>
              <w:rPr>
                <w:rFonts w:ascii="Andalus" w:eastAsia="Calibri" w:hAnsi="Andalus" w:cs="Andalus"/>
                <w:color w:val="000000"/>
                <w:kern w:val="3"/>
                <w:lang w:val="it-IT" w:bidi="en-US"/>
              </w:rPr>
            </w:pPr>
            <w:r w:rsidRPr="00DF29E5">
              <w:rPr>
                <w:rFonts w:ascii="Andalus" w:eastAsia="Calibri" w:hAnsi="Andalus" w:cs="Andalus"/>
                <w:color w:val="000000"/>
                <w:kern w:val="3"/>
                <w:lang w:val="it-IT" w:bidi="en-US"/>
              </w:rPr>
              <w:t>No</w:t>
            </w:r>
          </w:p>
        </w:tc>
        <w:tc>
          <w:tcPr>
            <w:tcW w:w="1099" w:type="dxa"/>
            <w:tcBorders>
              <w:top w:val="single" w:sz="4" w:space="0" w:color="000000"/>
              <w:left w:val="single" w:sz="4" w:space="0" w:color="000000"/>
              <w:bottom w:val="single" w:sz="4" w:space="0" w:color="000000"/>
              <w:right w:val="single" w:sz="4" w:space="0" w:color="000000"/>
            </w:tcBorders>
            <w:vAlign w:val="center"/>
          </w:tcPr>
          <w:p w:rsidR="008E5854" w:rsidRPr="00DF29E5" w:rsidRDefault="008E5854" w:rsidP="00716BA6">
            <w:pPr>
              <w:tabs>
                <w:tab w:val="left" w:pos="0"/>
              </w:tabs>
              <w:suppressAutoHyphens/>
              <w:autoSpaceDN w:val="0"/>
              <w:spacing w:before="30" w:after="30"/>
              <w:jc w:val="center"/>
              <w:textAlignment w:val="baseline"/>
              <w:rPr>
                <w:rFonts w:ascii="Andalus" w:eastAsia="Calibri" w:hAnsi="Andalus" w:cs="Andalus"/>
                <w:color w:val="000000"/>
                <w:kern w:val="3"/>
                <w:lang w:bidi="en-US"/>
              </w:rPr>
            </w:pPr>
            <w:r w:rsidRPr="00DF29E5">
              <w:rPr>
                <w:rFonts w:ascii="Andalus" w:eastAsia="Calibri" w:hAnsi="Andalus" w:cs="Andalus"/>
                <w:color w:val="000000"/>
                <w:kern w:val="3"/>
                <w:lang w:bidi="en-US"/>
              </w:rPr>
              <w:t>TAB E</w:t>
            </w:r>
          </w:p>
        </w:tc>
      </w:tr>
    </w:tbl>
    <w:p w:rsidR="008E5854" w:rsidRDefault="008E5854" w:rsidP="008E5854">
      <w:pPr>
        <w:tabs>
          <w:tab w:val="left" w:pos="0"/>
        </w:tabs>
        <w:suppressAutoHyphens/>
        <w:autoSpaceDN w:val="0"/>
        <w:spacing w:after="120"/>
        <w:jc w:val="both"/>
        <w:textAlignment w:val="baseline"/>
        <w:rPr>
          <w:rFonts w:ascii="Arial" w:eastAsia="Lucida Sans Unicode" w:hAnsi="Arial" w:cs="Arial"/>
          <w:color w:val="000000"/>
          <w:kern w:val="3"/>
          <w:sz w:val="12"/>
          <w:szCs w:val="12"/>
          <w:lang w:bidi="en-US"/>
        </w:rPr>
      </w:pPr>
    </w:p>
    <w:p w:rsidR="008E5854" w:rsidRPr="00795953" w:rsidRDefault="008E5854" w:rsidP="008E5854">
      <w:pPr>
        <w:tabs>
          <w:tab w:val="left" w:pos="0"/>
        </w:tabs>
        <w:suppressAutoHyphens/>
        <w:autoSpaceDN w:val="0"/>
        <w:ind w:firstLine="567"/>
        <w:jc w:val="both"/>
        <w:textAlignment w:val="baseline"/>
        <w:rPr>
          <w:rFonts w:ascii="Andalus" w:eastAsia="Lucida Sans Unicode" w:hAnsi="Andalus" w:cs="Andalus"/>
          <w:color w:val="000000"/>
          <w:kern w:val="3"/>
          <w:sz w:val="24"/>
          <w:szCs w:val="24"/>
          <w:lang w:val="it-IT" w:bidi="en-US"/>
        </w:rPr>
      </w:pPr>
      <w:r w:rsidRPr="00795953">
        <w:rPr>
          <w:rFonts w:ascii="Andalus" w:eastAsia="Lucida Sans Unicode" w:hAnsi="Andalus" w:cs="Andalus"/>
          <w:color w:val="000000"/>
          <w:kern w:val="3"/>
          <w:sz w:val="24"/>
          <w:szCs w:val="24"/>
          <w:lang w:val="it-IT" w:bidi="en-US"/>
        </w:rPr>
        <w:t>Nelle tabelle che seguono si riportano le principali informazioni riassunte per tipologia come da tabella precedente.</w:t>
      </w:r>
    </w:p>
    <w:p w:rsidR="008E5854" w:rsidRPr="00795953" w:rsidRDefault="008E5854" w:rsidP="008E5854">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795953">
        <w:rPr>
          <w:rFonts w:ascii="Andalus" w:eastAsia="Lucida Sans Unicode" w:hAnsi="Andalus" w:cs="Andalus"/>
          <w:color w:val="000000"/>
          <w:kern w:val="3"/>
          <w:sz w:val="24"/>
          <w:szCs w:val="24"/>
          <w:lang w:val="it-IT" w:bidi="en-US"/>
        </w:rPr>
        <w:t>La tabella A che segue riporta l’elenco analitico delle società per le quali si è proposto il mantenimento della partecipazione senza alcun intervento di razionalizzazione.</w:t>
      </w:r>
    </w:p>
    <w:p w:rsidR="008E5854" w:rsidRPr="00A03A77" w:rsidRDefault="008E5854" w:rsidP="008E5854">
      <w:pPr>
        <w:tabs>
          <w:tab w:val="left" w:pos="0"/>
        </w:tabs>
        <w:suppressAutoHyphens/>
        <w:autoSpaceDN w:val="0"/>
        <w:jc w:val="both"/>
        <w:textAlignment w:val="baseline"/>
        <w:rPr>
          <w:rFonts w:ascii="Book Antiqua" w:eastAsia="Lucida Sans Unicode" w:hAnsi="Book Antiqua" w:cs="Arial"/>
          <w:color w:val="000000"/>
          <w:kern w:val="3"/>
          <w:sz w:val="6"/>
          <w:szCs w:val="6"/>
          <w:lang w:val="it-IT" w:bidi="en-US"/>
        </w:rPr>
      </w:pPr>
    </w:p>
    <w:tbl>
      <w:tblPr>
        <w:tblW w:w="5365" w:type="pct"/>
        <w:tblInd w:w="-356" w:type="dxa"/>
        <w:tblLayout w:type="fixed"/>
        <w:tblCellMar>
          <w:left w:w="70" w:type="dxa"/>
          <w:right w:w="70" w:type="dxa"/>
        </w:tblCellMar>
        <w:tblLook w:val="04A0" w:firstRow="1" w:lastRow="0" w:firstColumn="1" w:lastColumn="0" w:noHBand="0" w:noVBand="1"/>
      </w:tblPr>
      <w:tblGrid>
        <w:gridCol w:w="1247"/>
        <w:gridCol w:w="2331"/>
        <w:gridCol w:w="1507"/>
        <w:gridCol w:w="2287"/>
        <w:gridCol w:w="1559"/>
        <w:gridCol w:w="1561"/>
      </w:tblGrid>
      <w:tr w:rsidR="008E5854" w:rsidRPr="008B6033" w:rsidTr="00DF29E5">
        <w:trPr>
          <w:trHeight w:val="285"/>
        </w:trPr>
        <w:tc>
          <w:tcPr>
            <w:tcW w:w="5000" w:type="pct"/>
            <w:gridSpan w:val="6"/>
            <w:tcBorders>
              <w:top w:val="single" w:sz="4" w:space="0" w:color="auto"/>
              <w:left w:val="single" w:sz="4" w:space="0" w:color="auto"/>
              <w:bottom w:val="single" w:sz="4" w:space="0" w:color="auto"/>
              <w:right w:val="single" w:sz="4" w:space="0" w:color="auto"/>
            </w:tcBorders>
            <w:noWrap/>
            <w:vAlign w:val="center"/>
            <w:hideMark/>
          </w:tcPr>
          <w:p w:rsidR="008E5854" w:rsidRPr="00DF29E5" w:rsidRDefault="008E5854" w:rsidP="00DF29E5">
            <w:pPr>
              <w:jc w:val="center"/>
              <w:rPr>
                <w:rFonts w:ascii="Andalus" w:hAnsi="Andalus" w:cs="Andalus"/>
                <w:b/>
                <w:bCs/>
                <w:sz w:val="24"/>
                <w:szCs w:val="24"/>
                <w:lang w:val="it-IT"/>
              </w:rPr>
            </w:pPr>
            <w:r w:rsidRPr="00DF29E5">
              <w:rPr>
                <w:rFonts w:ascii="Andalus" w:hAnsi="Andalus" w:cs="Andalus"/>
                <w:b/>
                <w:bCs/>
                <w:sz w:val="24"/>
                <w:szCs w:val="24"/>
                <w:lang w:val="it-IT"/>
              </w:rPr>
              <w:t>TAB A - PARTECIPAZIONI DA MANTENERE SENZA INTERVENTI DI RAZIONALIZZAZIONE</w:t>
            </w:r>
          </w:p>
        </w:tc>
      </w:tr>
      <w:tr w:rsidR="008E5854" w:rsidRPr="00DF29E5" w:rsidTr="004E4421">
        <w:trPr>
          <w:trHeight w:val="890"/>
        </w:trPr>
        <w:tc>
          <w:tcPr>
            <w:tcW w:w="594" w:type="pct"/>
            <w:tcBorders>
              <w:top w:val="single" w:sz="4" w:space="0" w:color="auto"/>
              <w:left w:val="single" w:sz="4" w:space="0" w:color="auto"/>
              <w:bottom w:val="single" w:sz="4" w:space="0" w:color="auto"/>
              <w:right w:val="single" w:sz="4" w:space="0" w:color="auto"/>
            </w:tcBorders>
            <w:shd w:val="clear" w:color="auto" w:fill="FDE9D9" w:themeFill="accent6" w:themeFillTint="33"/>
            <w:vAlign w:val="center"/>
            <w:hideMark/>
          </w:tcPr>
          <w:p w:rsidR="008E5854" w:rsidRPr="00DF29E5" w:rsidRDefault="008E5854" w:rsidP="00DF29E5">
            <w:pPr>
              <w:jc w:val="center"/>
              <w:rPr>
                <w:rFonts w:ascii="Andalus" w:hAnsi="Andalus" w:cs="Andalus"/>
                <w:b/>
                <w:bCs/>
              </w:rPr>
            </w:pPr>
            <w:r w:rsidRPr="00DF29E5">
              <w:rPr>
                <w:rFonts w:ascii="Andalus" w:hAnsi="Andalus" w:cs="Andalus"/>
                <w:b/>
                <w:bCs/>
              </w:rPr>
              <w:t>Progressivo</w:t>
            </w:r>
          </w:p>
        </w:tc>
        <w:tc>
          <w:tcPr>
            <w:tcW w:w="1111"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DF29E5" w:rsidRDefault="008E5854" w:rsidP="00716BA6">
            <w:pPr>
              <w:jc w:val="center"/>
              <w:rPr>
                <w:rFonts w:ascii="Andalus" w:hAnsi="Andalus" w:cs="Andalus"/>
                <w:b/>
                <w:bCs/>
              </w:rPr>
            </w:pPr>
            <w:r w:rsidRPr="00DF29E5">
              <w:rPr>
                <w:rFonts w:ascii="Andalus" w:hAnsi="Andalus" w:cs="Andalus"/>
                <w:b/>
                <w:bCs/>
              </w:rPr>
              <w:t>Denominazione società</w:t>
            </w:r>
          </w:p>
        </w:tc>
        <w:tc>
          <w:tcPr>
            <w:tcW w:w="718"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DF29E5" w:rsidRDefault="008E5854" w:rsidP="00716BA6">
            <w:pPr>
              <w:jc w:val="center"/>
              <w:rPr>
                <w:rFonts w:ascii="Andalus" w:hAnsi="Andalus" w:cs="Andalus"/>
                <w:b/>
                <w:bCs/>
              </w:rPr>
            </w:pPr>
            <w:r w:rsidRPr="00DF29E5">
              <w:rPr>
                <w:rFonts w:ascii="Andalus" w:hAnsi="Andalus" w:cs="Andalus"/>
                <w:b/>
                <w:bCs/>
              </w:rPr>
              <w:t>Tipo di partecipazione</w:t>
            </w:r>
          </w:p>
        </w:tc>
        <w:tc>
          <w:tcPr>
            <w:tcW w:w="1090"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DF29E5" w:rsidRDefault="008E5854" w:rsidP="00716BA6">
            <w:pPr>
              <w:jc w:val="center"/>
              <w:rPr>
                <w:rFonts w:ascii="Andalus" w:hAnsi="Andalus" w:cs="Andalus"/>
                <w:b/>
                <w:bCs/>
              </w:rPr>
            </w:pPr>
            <w:r w:rsidRPr="00DF29E5">
              <w:rPr>
                <w:rFonts w:ascii="Andalus" w:hAnsi="Andalus" w:cs="Andalus"/>
                <w:b/>
                <w:bCs/>
              </w:rPr>
              <w:t>Attività svolta</w:t>
            </w:r>
          </w:p>
        </w:tc>
        <w:tc>
          <w:tcPr>
            <w:tcW w:w="743"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DF29E5" w:rsidRDefault="008E5854" w:rsidP="00DF29E5">
            <w:pPr>
              <w:jc w:val="center"/>
              <w:rPr>
                <w:rFonts w:ascii="Andalus" w:hAnsi="Andalus" w:cs="Andalus"/>
                <w:b/>
                <w:bCs/>
              </w:rPr>
            </w:pPr>
            <w:r w:rsidRPr="00DF29E5">
              <w:rPr>
                <w:rFonts w:ascii="Andalus" w:hAnsi="Andalus" w:cs="Andalus"/>
                <w:b/>
                <w:bCs/>
              </w:rPr>
              <w:t>% Quota di partecipazione</w:t>
            </w:r>
          </w:p>
        </w:tc>
        <w:tc>
          <w:tcPr>
            <w:tcW w:w="744" w:type="pct"/>
            <w:tcBorders>
              <w:top w:val="single" w:sz="4" w:space="0" w:color="auto"/>
              <w:left w:val="nil"/>
              <w:bottom w:val="single" w:sz="4" w:space="0" w:color="auto"/>
              <w:right w:val="single" w:sz="4" w:space="0" w:color="auto"/>
            </w:tcBorders>
            <w:shd w:val="clear" w:color="auto" w:fill="FDE9D9" w:themeFill="accent6" w:themeFillTint="33"/>
            <w:vAlign w:val="center"/>
            <w:hideMark/>
          </w:tcPr>
          <w:p w:rsidR="008E5854" w:rsidRPr="00DF29E5" w:rsidRDefault="008E5854" w:rsidP="00716BA6">
            <w:pPr>
              <w:jc w:val="center"/>
              <w:rPr>
                <w:rFonts w:ascii="Andalus" w:hAnsi="Andalus" w:cs="Andalus"/>
                <w:b/>
                <w:bCs/>
              </w:rPr>
            </w:pPr>
            <w:r w:rsidRPr="00DF29E5">
              <w:rPr>
                <w:rFonts w:ascii="Andalus" w:hAnsi="Andalus" w:cs="Andalus"/>
                <w:b/>
                <w:bCs/>
              </w:rPr>
              <w:t>Motivazioni della scelta</w:t>
            </w:r>
          </w:p>
        </w:tc>
      </w:tr>
      <w:tr w:rsidR="008E5854" w:rsidRPr="00DF29E5" w:rsidTr="004E4421">
        <w:trPr>
          <w:trHeight w:val="360"/>
        </w:trPr>
        <w:tc>
          <w:tcPr>
            <w:tcW w:w="594" w:type="pct"/>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A</w:t>
            </w:r>
          </w:p>
        </w:tc>
        <w:tc>
          <w:tcPr>
            <w:tcW w:w="1111" w:type="pct"/>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B</w:t>
            </w:r>
          </w:p>
        </w:tc>
        <w:tc>
          <w:tcPr>
            <w:tcW w:w="718" w:type="pct"/>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C</w:t>
            </w:r>
          </w:p>
        </w:tc>
        <w:tc>
          <w:tcPr>
            <w:tcW w:w="1090" w:type="pct"/>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D</w:t>
            </w:r>
          </w:p>
        </w:tc>
        <w:tc>
          <w:tcPr>
            <w:tcW w:w="743" w:type="pct"/>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E</w:t>
            </w:r>
          </w:p>
        </w:tc>
        <w:tc>
          <w:tcPr>
            <w:tcW w:w="744" w:type="pct"/>
            <w:tcBorders>
              <w:top w:val="single" w:sz="4" w:space="0" w:color="auto"/>
              <w:left w:val="nil"/>
              <w:bottom w:val="single" w:sz="4" w:space="0" w:color="auto"/>
              <w:right w:val="single" w:sz="4" w:space="0" w:color="auto"/>
            </w:tcBorders>
            <w:shd w:val="clear" w:color="auto" w:fill="FBD4B4" w:themeFill="accent6" w:themeFillTint="66"/>
            <w:vAlign w:val="center"/>
            <w:hideMark/>
          </w:tcPr>
          <w:p w:rsidR="008E5854" w:rsidRPr="00DF29E5" w:rsidRDefault="008E5854" w:rsidP="00716BA6">
            <w:pPr>
              <w:jc w:val="center"/>
              <w:rPr>
                <w:rFonts w:ascii="Andalus" w:hAnsi="Andalus" w:cs="Andalus"/>
                <w:bCs/>
              </w:rPr>
            </w:pPr>
            <w:r w:rsidRPr="00DF29E5">
              <w:rPr>
                <w:rFonts w:ascii="Andalus" w:hAnsi="Andalus" w:cs="Andalus"/>
                <w:bCs/>
              </w:rPr>
              <w:t>F</w:t>
            </w:r>
          </w:p>
        </w:tc>
      </w:tr>
      <w:tr w:rsidR="008E5854" w:rsidRPr="00DF29E5" w:rsidTr="00DF29E5">
        <w:trPr>
          <w:trHeight w:val="960"/>
        </w:trPr>
        <w:tc>
          <w:tcPr>
            <w:tcW w:w="594" w:type="pct"/>
            <w:tcBorders>
              <w:top w:val="nil"/>
              <w:left w:val="single" w:sz="4" w:space="0" w:color="auto"/>
              <w:bottom w:val="single" w:sz="4" w:space="0" w:color="auto"/>
              <w:right w:val="single" w:sz="4" w:space="0" w:color="auto"/>
            </w:tcBorders>
            <w:shd w:val="clear" w:color="auto" w:fill="FFFFFF"/>
            <w:vAlign w:val="center"/>
            <w:hideMark/>
          </w:tcPr>
          <w:p w:rsidR="008E5854" w:rsidRPr="00DF29E5" w:rsidRDefault="00397810" w:rsidP="00716BA6">
            <w:pPr>
              <w:jc w:val="center"/>
              <w:rPr>
                <w:rFonts w:ascii="Andalus" w:hAnsi="Andalus" w:cs="Andalus"/>
              </w:rPr>
            </w:pPr>
            <w:r w:rsidRPr="00DF29E5">
              <w:rPr>
                <w:rFonts w:ascii="Andalus" w:hAnsi="Andalus" w:cs="Andalus"/>
              </w:rPr>
              <w:t>1</w:t>
            </w:r>
          </w:p>
        </w:tc>
        <w:tc>
          <w:tcPr>
            <w:tcW w:w="1111" w:type="pct"/>
            <w:tcBorders>
              <w:top w:val="nil"/>
              <w:left w:val="nil"/>
              <w:bottom w:val="single" w:sz="4" w:space="0" w:color="auto"/>
              <w:right w:val="single" w:sz="4" w:space="0" w:color="auto"/>
            </w:tcBorders>
            <w:shd w:val="clear" w:color="auto" w:fill="FFFFFF"/>
            <w:vAlign w:val="center"/>
            <w:hideMark/>
          </w:tcPr>
          <w:p w:rsidR="008E5854" w:rsidRPr="00DF29E5" w:rsidRDefault="008E5854" w:rsidP="00397810">
            <w:pPr>
              <w:rPr>
                <w:rFonts w:ascii="Andalus" w:hAnsi="Andalus" w:cs="Andalus"/>
                <w:lang w:val="it-IT"/>
              </w:rPr>
            </w:pPr>
            <w:r w:rsidRPr="00DF29E5">
              <w:rPr>
                <w:rFonts w:ascii="Andalus" w:hAnsi="Andalus" w:cs="Andalus"/>
                <w:lang w:val="it-IT"/>
              </w:rPr>
              <w:t> </w:t>
            </w:r>
            <w:r w:rsidR="00397810" w:rsidRPr="00DF29E5">
              <w:rPr>
                <w:rFonts w:ascii="Andalus" w:hAnsi="Andalus" w:cs="Andalus"/>
                <w:lang w:val="it-IT"/>
              </w:rPr>
              <w:t>Società Consortile mista pubblico-privato a</w:t>
            </w:r>
            <w:r w:rsidR="008B6033">
              <w:rPr>
                <w:rFonts w:ascii="Andalus" w:hAnsi="Andalus" w:cs="Andalus"/>
                <w:lang w:val="it-IT"/>
              </w:rPr>
              <w:t>.</w:t>
            </w:r>
            <w:r w:rsidR="00397810" w:rsidRPr="00DF29E5">
              <w:rPr>
                <w:rFonts w:ascii="Andalus" w:hAnsi="Andalus" w:cs="Andalus"/>
                <w:lang w:val="it-IT"/>
              </w:rPr>
              <w:t xml:space="preserve"> r</w:t>
            </w:r>
            <w:r w:rsidR="008B6033">
              <w:rPr>
                <w:rFonts w:ascii="Andalus" w:hAnsi="Andalus" w:cs="Andalus"/>
                <w:lang w:val="it-IT"/>
              </w:rPr>
              <w:t>.</w:t>
            </w:r>
            <w:r w:rsidR="00397810" w:rsidRPr="00DF29E5">
              <w:rPr>
                <w:rFonts w:ascii="Andalus" w:hAnsi="Andalus" w:cs="Andalus"/>
                <w:lang w:val="it-IT"/>
              </w:rPr>
              <w:t>l Rocca di Cerere</w:t>
            </w:r>
          </w:p>
        </w:tc>
        <w:tc>
          <w:tcPr>
            <w:tcW w:w="718" w:type="pct"/>
            <w:tcBorders>
              <w:top w:val="nil"/>
              <w:left w:val="nil"/>
              <w:bottom w:val="single" w:sz="4" w:space="0" w:color="auto"/>
              <w:right w:val="single" w:sz="4" w:space="0" w:color="auto"/>
            </w:tcBorders>
            <w:shd w:val="clear" w:color="auto" w:fill="FFFFFF"/>
            <w:vAlign w:val="center"/>
            <w:hideMark/>
          </w:tcPr>
          <w:p w:rsidR="008E5854" w:rsidRPr="00DF29E5" w:rsidRDefault="008E5854" w:rsidP="00397810">
            <w:pPr>
              <w:jc w:val="center"/>
              <w:rPr>
                <w:rFonts w:ascii="Andalus" w:hAnsi="Andalus" w:cs="Andalus"/>
              </w:rPr>
            </w:pPr>
            <w:r w:rsidRPr="00DF29E5">
              <w:rPr>
                <w:rFonts w:ascii="Andalus" w:hAnsi="Andalus" w:cs="Andalus"/>
                <w:lang w:val="it-IT"/>
              </w:rPr>
              <w:t> </w:t>
            </w:r>
            <w:r w:rsidR="00397810" w:rsidRPr="00DF29E5">
              <w:rPr>
                <w:rFonts w:ascii="Andalus" w:hAnsi="Andalus" w:cs="Andalus"/>
                <w:lang w:val="it-IT"/>
              </w:rPr>
              <w:t>diretta</w:t>
            </w:r>
          </w:p>
        </w:tc>
        <w:tc>
          <w:tcPr>
            <w:tcW w:w="1090" w:type="pct"/>
            <w:tcBorders>
              <w:top w:val="nil"/>
              <w:left w:val="nil"/>
              <w:bottom w:val="single" w:sz="4" w:space="0" w:color="auto"/>
              <w:right w:val="single" w:sz="4" w:space="0" w:color="auto"/>
            </w:tcBorders>
            <w:shd w:val="clear" w:color="auto" w:fill="FFFFFF"/>
            <w:vAlign w:val="center"/>
            <w:hideMark/>
          </w:tcPr>
          <w:p w:rsidR="008E5854" w:rsidRPr="00DF29E5" w:rsidRDefault="00397810" w:rsidP="00397810">
            <w:pPr>
              <w:jc w:val="center"/>
              <w:rPr>
                <w:rFonts w:ascii="Andalus" w:hAnsi="Andalus" w:cs="Andalus"/>
                <w:lang w:val="it-IT"/>
              </w:rPr>
            </w:pPr>
            <w:r w:rsidRPr="00DF29E5">
              <w:rPr>
                <w:rFonts w:ascii="Andalus" w:hAnsi="Andalus" w:cs="Andalus"/>
                <w:lang w:val="it-IT"/>
              </w:rPr>
              <w:t>promozione,e sviluppo del  territori</w:t>
            </w:r>
          </w:p>
        </w:tc>
        <w:tc>
          <w:tcPr>
            <w:tcW w:w="743" w:type="pct"/>
            <w:tcBorders>
              <w:top w:val="nil"/>
              <w:left w:val="nil"/>
              <w:bottom w:val="single" w:sz="4" w:space="0" w:color="auto"/>
              <w:right w:val="single" w:sz="4" w:space="0" w:color="auto"/>
            </w:tcBorders>
            <w:shd w:val="clear" w:color="auto" w:fill="FFFFFF"/>
            <w:vAlign w:val="center"/>
            <w:hideMark/>
          </w:tcPr>
          <w:p w:rsidR="008E5854" w:rsidRPr="00DF29E5" w:rsidRDefault="00946FC3" w:rsidP="00946FC3">
            <w:pPr>
              <w:jc w:val="center"/>
              <w:rPr>
                <w:rFonts w:ascii="Andalus" w:hAnsi="Andalus" w:cs="Andalus"/>
              </w:rPr>
            </w:pPr>
            <w:r>
              <w:rPr>
                <w:rFonts w:ascii="Andalus" w:hAnsi="Andalus" w:cs="Andalus"/>
              </w:rPr>
              <w:t>2.78%</w:t>
            </w:r>
            <w:r w:rsidR="008E5854" w:rsidRPr="00DF29E5">
              <w:rPr>
                <w:rFonts w:ascii="Andalus" w:hAnsi="Andalus" w:cs="Andalus"/>
              </w:rPr>
              <w:t> </w:t>
            </w:r>
          </w:p>
        </w:tc>
        <w:tc>
          <w:tcPr>
            <w:tcW w:w="744" w:type="pct"/>
            <w:tcBorders>
              <w:top w:val="nil"/>
              <w:left w:val="nil"/>
              <w:bottom w:val="single" w:sz="4" w:space="0" w:color="auto"/>
              <w:right w:val="single" w:sz="4" w:space="0" w:color="auto"/>
            </w:tcBorders>
            <w:shd w:val="clear" w:color="auto" w:fill="FFFFFF"/>
            <w:vAlign w:val="center"/>
            <w:hideMark/>
          </w:tcPr>
          <w:p w:rsidR="008E5854" w:rsidRPr="00DF29E5" w:rsidRDefault="008E5854" w:rsidP="0024223B">
            <w:pPr>
              <w:rPr>
                <w:rFonts w:ascii="Andalus" w:hAnsi="Andalus" w:cs="Andalus"/>
              </w:rPr>
            </w:pPr>
            <w:r w:rsidRPr="00DF29E5">
              <w:rPr>
                <w:rFonts w:ascii="Andalus" w:hAnsi="Andalus" w:cs="Andalus"/>
                <w:lang w:val="it-IT"/>
              </w:rPr>
              <w:t> </w:t>
            </w:r>
            <w:r w:rsidR="0024223B" w:rsidRPr="00DF29E5">
              <w:rPr>
                <w:rFonts w:ascii="Andalus" w:hAnsi="Andalus" w:cs="Andalus"/>
              </w:rPr>
              <w:t xml:space="preserve">Art. 4 coma 6 e art. 26 commi 7 e 9 </w:t>
            </w:r>
            <w:r w:rsidR="004B5DA8" w:rsidRPr="00DF29E5">
              <w:rPr>
                <w:rFonts w:ascii="Andalus" w:hAnsi="Andalus" w:cs="Andalus"/>
              </w:rPr>
              <w:t>,D.Lgs. 175/2016</w:t>
            </w:r>
          </w:p>
        </w:tc>
      </w:tr>
    </w:tbl>
    <w:p w:rsidR="00E15A07" w:rsidRPr="00E15A07" w:rsidRDefault="00E15A07" w:rsidP="008E5854">
      <w:pPr>
        <w:tabs>
          <w:tab w:val="left" w:pos="0"/>
        </w:tabs>
        <w:suppressAutoHyphens/>
        <w:autoSpaceDN w:val="0"/>
        <w:spacing w:after="160"/>
        <w:ind w:firstLine="567"/>
        <w:jc w:val="both"/>
        <w:textAlignment w:val="baseline"/>
        <w:rPr>
          <w:rFonts w:ascii="Andalus" w:eastAsia="Lucida Sans Unicode" w:hAnsi="Andalus" w:cs="Andalus"/>
          <w:color w:val="000000"/>
          <w:kern w:val="3"/>
          <w:sz w:val="8"/>
          <w:szCs w:val="8"/>
          <w:lang w:val="it-IT" w:bidi="en-US"/>
        </w:rPr>
      </w:pPr>
    </w:p>
    <w:p w:rsidR="008E5854" w:rsidRPr="007A2F67" w:rsidRDefault="008E5854" w:rsidP="008E5854">
      <w:pPr>
        <w:tabs>
          <w:tab w:val="left" w:pos="0"/>
        </w:tabs>
        <w:suppressAutoHyphens/>
        <w:autoSpaceDN w:val="0"/>
        <w:jc w:val="both"/>
        <w:textAlignment w:val="baseline"/>
        <w:rPr>
          <w:rFonts w:ascii="Andalus" w:eastAsia="Lucida Sans Unicode" w:hAnsi="Andalus" w:cs="Andalus"/>
          <w:b/>
          <w:color w:val="000000"/>
          <w:kern w:val="3"/>
          <w:sz w:val="24"/>
          <w:szCs w:val="24"/>
          <w:u w:val="single"/>
          <w:lang w:val="it-IT" w:bidi="en-US"/>
        </w:rPr>
      </w:pPr>
      <w:r w:rsidRPr="007A2F67">
        <w:rPr>
          <w:rFonts w:ascii="Andalus" w:eastAsia="Lucida Sans Unicode" w:hAnsi="Andalus" w:cs="Andalus"/>
          <w:b/>
          <w:color w:val="000000"/>
          <w:kern w:val="3"/>
          <w:sz w:val="24"/>
          <w:szCs w:val="24"/>
          <w:u w:val="single"/>
          <w:lang w:val="it-IT" w:bidi="en-US"/>
        </w:rPr>
        <w:t xml:space="preserve">Gli Allegati Al Piano </w:t>
      </w:r>
    </w:p>
    <w:p w:rsidR="008E5854" w:rsidRPr="007A2F67" w:rsidRDefault="008E5854" w:rsidP="008E5854">
      <w:pPr>
        <w:tabs>
          <w:tab w:val="left" w:pos="0"/>
        </w:tabs>
        <w:suppressAutoHyphens/>
        <w:autoSpaceDN w:val="0"/>
        <w:spacing w:after="120"/>
        <w:ind w:firstLine="567"/>
        <w:jc w:val="both"/>
        <w:textAlignment w:val="baseline"/>
        <w:rPr>
          <w:rFonts w:ascii="Andalus" w:eastAsia="Lucida Sans Unicode" w:hAnsi="Andalus" w:cs="Andalus"/>
          <w:color w:val="000000"/>
          <w:kern w:val="3"/>
          <w:sz w:val="24"/>
          <w:szCs w:val="24"/>
          <w:lang w:val="it-IT" w:bidi="en-US"/>
        </w:rPr>
      </w:pPr>
      <w:r w:rsidRPr="007A2F67">
        <w:rPr>
          <w:rFonts w:ascii="Andalus" w:eastAsia="Lucida Sans Unicode" w:hAnsi="Andalus" w:cs="Andalus"/>
          <w:color w:val="000000"/>
          <w:kern w:val="3"/>
          <w:sz w:val="24"/>
          <w:szCs w:val="24"/>
          <w:lang w:val="it-IT" w:bidi="en-US"/>
        </w:rPr>
        <w:t>A conclusione di detta relazione si riportano l</w:t>
      </w:r>
      <w:r w:rsidR="00946FC3">
        <w:rPr>
          <w:rFonts w:ascii="Andalus" w:eastAsia="Lucida Sans Unicode" w:hAnsi="Andalus" w:cs="Andalus"/>
          <w:color w:val="000000"/>
          <w:kern w:val="3"/>
          <w:sz w:val="24"/>
          <w:szCs w:val="24"/>
          <w:lang w:val="it-IT" w:bidi="en-US"/>
        </w:rPr>
        <w:t>a</w:t>
      </w:r>
      <w:r w:rsidRPr="007A2F67">
        <w:rPr>
          <w:rFonts w:ascii="Andalus" w:eastAsia="Lucida Sans Unicode" w:hAnsi="Andalus" w:cs="Andalus"/>
          <w:color w:val="000000"/>
          <w:kern w:val="3"/>
          <w:sz w:val="24"/>
          <w:szCs w:val="24"/>
          <w:lang w:val="it-IT" w:bidi="en-US"/>
        </w:rPr>
        <w:t xml:space="preserve"> sched</w:t>
      </w:r>
      <w:r w:rsidR="00946FC3">
        <w:rPr>
          <w:rFonts w:ascii="Andalus" w:eastAsia="Lucida Sans Unicode" w:hAnsi="Andalus" w:cs="Andalus"/>
          <w:color w:val="000000"/>
          <w:kern w:val="3"/>
          <w:sz w:val="24"/>
          <w:szCs w:val="24"/>
          <w:lang w:val="it-IT" w:bidi="en-US"/>
        </w:rPr>
        <w:t>a</w:t>
      </w:r>
      <w:r w:rsidRPr="007A2F67">
        <w:rPr>
          <w:rFonts w:ascii="Andalus" w:eastAsia="Lucida Sans Unicode" w:hAnsi="Andalus" w:cs="Andalus"/>
          <w:color w:val="000000"/>
          <w:kern w:val="3"/>
          <w:sz w:val="24"/>
          <w:szCs w:val="24"/>
          <w:lang w:val="it-IT" w:bidi="en-US"/>
        </w:rPr>
        <w:t xml:space="preserve"> analitic</w:t>
      </w:r>
      <w:r w:rsidR="00946FC3">
        <w:rPr>
          <w:rFonts w:ascii="Andalus" w:eastAsia="Lucida Sans Unicode" w:hAnsi="Andalus" w:cs="Andalus"/>
          <w:color w:val="000000"/>
          <w:kern w:val="3"/>
          <w:sz w:val="24"/>
          <w:szCs w:val="24"/>
          <w:lang w:val="it-IT" w:bidi="en-US"/>
        </w:rPr>
        <w:t>a</w:t>
      </w:r>
      <w:r w:rsidRPr="007A2F67">
        <w:rPr>
          <w:rFonts w:ascii="Andalus" w:eastAsia="Lucida Sans Unicode" w:hAnsi="Andalus" w:cs="Andalus"/>
          <w:color w:val="000000"/>
          <w:kern w:val="3"/>
          <w:sz w:val="24"/>
          <w:szCs w:val="24"/>
          <w:lang w:val="it-IT" w:bidi="en-US"/>
        </w:rPr>
        <w:t xml:space="preserve"> relativ</w:t>
      </w:r>
      <w:r w:rsidR="00946FC3">
        <w:rPr>
          <w:rFonts w:ascii="Andalus" w:eastAsia="Lucida Sans Unicode" w:hAnsi="Andalus" w:cs="Andalus"/>
          <w:color w:val="000000"/>
          <w:kern w:val="3"/>
          <w:sz w:val="24"/>
          <w:szCs w:val="24"/>
          <w:lang w:val="it-IT" w:bidi="en-US"/>
        </w:rPr>
        <w:t>a</w:t>
      </w:r>
      <w:r w:rsidRPr="007A2F67">
        <w:rPr>
          <w:rFonts w:ascii="Andalus" w:eastAsia="Lucida Sans Unicode" w:hAnsi="Andalus" w:cs="Andalus"/>
          <w:color w:val="000000"/>
          <w:kern w:val="3"/>
          <w:sz w:val="24"/>
          <w:szCs w:val="24"/>
          <w:lang w:val="it-IT" w:bidi="en-US"/>
        </w:rPr>
        <w:t xml:space="preserve"> a ciascuna società censite attraverso l’utilizzo del prospetto di rilevazione dati messa a disposizione dal MEF e lo schema tipo del Piano con le informazioni richieste dalla Corte dei Conti.</w:t>
      </w:r>
    </w:p>
    <w:p w:rsidR="00A56E27" w:rsidRDefault="00A56E27">
      <w:pPr>
        <w:rPr>
          <w:rFonts w:ascii="Andalus" w:hAnsi="Andalus" w:cs="Andalus"/>
          <w:sz w:val="24"/>
          <w:szCs w:val="24"/>
          <w:lang w:val="it-IT"/>
        </w:rPr>
      </w:pPr>
    </w:p>
    <w:p w:rsidR="002C06E6" w:rsidRDefault="002C06E6">
      <w:pPr>
        <w:rPr>
          <w:rFonts w:ascii="Andalus" w:hAnsi="Andalus" w:cs="Andalus"/>
          <w:sz w:val="24"/>
          <w:szCs w:val="24"/>
          <w:lang w:val="it-IT"/>
        </w:rPr>
      </w:pPr>
    </w:p>
    <w:p w:rsidR="002C06E6" w:rsidRDefault="002C06E6">
      <w:pPr>
        <w:rPr>
          <w:rFonts w:ascii="Andalus" w:hAnsi="Andalus" w:cs="Andalus"/>
          <w:sz w:val="24"/>
          <w:szCs w:val="24"/>
          <w:lang w:val="it-IT"/>
        </w:rPr>
      </w:pPr>
      <w:r>
        <w:rPr>
          <w:rFonts w:ascii="Andalus" w:hAnsi="Andalus" w:cs="Andalus"/>
          <w:sz w:val="24"/>
          <w:szCs w:val="24"/>
          <w:lang w:val="it-IT"/>
        </w:rPr>
        <w:t xml:space="preserve">     Il Dirigente</w:t>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r>
      <w:r>
        <w:rPr>
          <w:rFonts w:ascii="Andalus" w:hAnsi="Andalus" w:cs="Andalus"/>
          <w:sz w:val="24"/>
          <w:szCs w:val="24"/>
          <w:lang w:val="it-IT"/>
        </w:rPr>
        <w:tab/>
        <w:t>Il Sindaco</w:t>
      </w:r>
    </w:p>
    <w:p w:rsidR="002C06E6" w:rsidRDefault="002C06E6">
      <w:pPr>
        <w:rPr>
          <w:rFonts w:ascii="Andalus" w:hAnsi="Andalus" w:cs="Andalus"/>
          <w:sz w:val="24"/>
          <w:szCs w:val="24"/>
          <w:lang w:val="it-IT"/>
        </w:rPr>
      </w:pPr>
    </w:p>
    <w:p w:rsidR="002C06E6" w:rsidRPr="007A2F67" w:rsidRDefault="002C06E6">
      <w:pPr>
        <w:rPr>
          <w:rFonts w:ascii="Andalus" w:hAnsi="Andalus" w:cs="Andalus"/>
          <w:sz w:val="24"/>
          <w:szCs w:val="24"/>
          <w:lang w:val="it-IT"/>
        </w:rPr>
      </w:pPr>
    </w:p>
    <w:sectPr w:rsidR="002C06E6" w:rsidRPr="007A2F67" w:rsidSect="006A654A">
      <w:pgSz w:w="11906" w:h="16838"/>
      <w:pgMar w:top="1417" w:right="1134"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522EC" w:rsidRDefault="001522EC" w:rsidP="00E41867">
      <w:r>
        <w:separator/>
      </w:r>
    </w:p>
  </w:endnote>
  <w:endnote w:type="continuationSeparator" w:id="0">
    <w:p w:rsidR="001522EC" w:rsidRDefault="001522EC" w:rsidP="00E418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ndalus">
    <w:altName w:val="Times New Roman"/>
    <w:charset w:val="00"/>
    <w:family w:val="roman"/>
    <w:pitch w:val="variable"/>
    <w:sig w:usb0="00002003"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493"/>
      <w:docPartObj>
        <w:docPartGallery w:val="Page Numbers (Bottom of Page)"/>
        <w:docPartUnique/>
      </w:docPartObj>
    </w:sdtPr>
    <w:sdtEndPr/>
    <w:sdtContent>
      <w:p w:rsidR="00816F1E" w:rsidRDefault="007842A0">
        <w:pPr>
          <w:pStyle w:val="Pidipagina"/>
          <w:jc w:val="center"/>
        </w:pPr>
        <w:r>
          <w:rPr>
            <w:noProof/>
            <w:lang w:val="it-IT" w:eastAsia="it-IT"/>
          </w:rPr>
          <mc:AlternateContent>
            <mc:Choice Requires="wps">
              <w:drawing>
                <wp:inline distT="0" distB="0" distL="0" distR="0">
                  <wp:extent cx="5943600" cy="45085"/>
                  <wp:effectExtent l="5715" t="5715" r="8255" b="6350"/>
                  <wp:docPr id="2" name="AutoShape 2"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10605"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36DCA26E" id="_x0000_t110" coordsize="21600,21600" o:spt="110" path="m10800,l,10800,10800,21600,21600,10800xe">
                  <v:stroke joinstyle="miter"/>
                  <v:path gradientshapeok="t" o:connecttype="rect" textboxrect="5400,5400,16200,16200"/>
                </v:shapetype>
                <v:shape id="AutoShape 2" o:spid="_x0000_s1026" type="#_x0000_t110" alt="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" fillcolor="black [3213]" stroked="f" strokecolor="black [3213]">
                  <v:fill r:id="rId1" o:title="" type="pattern"/>
                  <w10:anchorlock/>
                </v:shape>
              </w:pict>
            </mc:Fallback>
          </mc:AlternateContent>
        </w:r>
      </w:p>
      <w:p w:rsidR="00816F1E" w:rsidRDefault="005B7D2C">
        <w:pPr>
          <w:pStyle w:val="Pidipagina"/>
          <w:jc w:val="center"/>
        </w:pPr>
        <w:r>
          <w:fldChar w:fldCharType="begin"/>
        </w:r>
        <w:r w:rsidR="00D93977">
          <w:instrText xml:space="preserve"> PAGE    \* MERGEFORMAT </w:instrText>
        </w:r>
        <w:r>
          <w:fldChar w:fldCharType="separate"/>
        </w:r>
        <w:r w:rsidR="007842A0">
          <w:rPr>
            <w:noProof/>
          </w:rPr>
          <w:t>1</w:t>
        </w:r>
        <w:r>
          <w:rPr>
            <w:noProof/>
          </w:rPr>
          <w:fldChar w:fldCharType="end"/>
        </w:r>
      </w:p>
    </w:sdtContent>
  </w:sdt>
  <w:p w:rsidR="00816F1E" w:rsidRDefault="00816F1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35496"/>
      <w:docPartObj>
        <w:docPartGallery w:val="Page Numbers (Bottom of Page)"/>
        <w:docPartUnique/>
      </w:docPartObj>
    </w:sdtPr>
    <w:sdtEndPr/>
    <w:sdtContent>
      <w:p w:rsidR="00816F1E" w:rsidRDefault="007842A0">
        <w:pPr>
          <w:pStyle w:val="Pidipagina"/>
          <w:jc w:val="center"/>
        </w:pPr>
        <w:r>
          <w:rPr>
            <w:noProof/>
            <w:lang w:val="it-IT" w:eastAsia="it-IT"/>
          </w:rPr>
          <mc:AlternateContent>
            <mc:Choice Requires="wps">
              <w:drawing>
                <wp:inline distT="0" distB="0" distL="0" distR="0">
                  <wp:extent cx="5943600" cy="45085"/>
                  <wp:effectExtent l="5715" t="5715" r="8255" b="6350"/>
                  <wp:docPr id="1" name="AutoShape 1" descr="Light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6110605" cy="45085"/>
                          </a:xfrm>
                          <a:prstGeom prst="flowChartDecision">
                            <a:avLst/>
                          </a:prstGeom>
                          <a:pattFill prst="ltHorz">
                            <a:fgClr>
                              <a:schemeClr val="tx1">
                                <a:lumMod val="100000"/>
                                <a:lumOff val="0"/>
                              </a:schemeClr>
                            </a:fgClr>
                            <a:bgClr>
                              <a:srgbClr val="FFFFFF"/>
                            </a:bgClr>
                          </a:pattFill>
                          <a:ln>
                            <a:noFill/>
                          </a:ln>
                          <a:extLst>
                            <a:ext uri="{91240B29-F687-4F45-9708-019B960494DF}">
                              <a14:hiddenLine xmlns:a14="http://schemas.microsoft.com/office/drawing/2010/main" w="9525">
                                <a:solidFill>
                                  <a:schemeClr val="tx1">
                                    <a:lumMod val="100000"/>
                                    <a:lumOff val="0"/>
                                  </a:schemeClr>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shapetype w14:anchorId="44646CB0" id="_x0000_t110" coordsize="21600,21600" o:spt="110" path="m10800,l,10800,10800,21600,21600,10800xe">
                  <v:stroke joinstyle="miter"/>
                  <v:path gradientshapeok="t" o:connecttype="rect" textboxrect="5400,5400,16200,16200"/>
                </v:shapetype>
                <v:shape id="AutoShape 1" o:spid="_x0000_s1026" type="#_x0000_t110" alt="Light horizontal" style="width:468pt;height:3.55pt;flip:y;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" fillcolor="black [3213]" stroked="f" strokecolor="black [3213]">
                  <v:fill r:id="rId1" o:title="" type="pattern"/>
                  <w10:anchorlock/>
                </v:shape>
              </w:pict>
            </mc:Fallback>
          </mc:AlternateContent>
        </w:r>
      </w:p>
      <w:p w:rsidR="00816F1E" w:rsidRDefault="005B7D2C">
        <w:pPr>
          <w:pStyle w:val="Pidipagina"/>
          <w:jc w:val="center"/>
        </w:pPr>
        <w:r>
          <w:fldChar w:fldCharType="begin"/>
        </w:r>
        <w:r w:rsidR="00D93977">
          <w:instrText xml:space="preserve"> PAGE    \* MERGEFORMAT </w:instrText>
        </w:r>
        <w:r>
          <w:fldChar w:fldCharType="separate"/>
        </w:r>
        <w:r w:rsidR="007842A0">
          <w:rPr>
            <w:noProof/>
          </w:rPr>
          <w:t>0</w:t>
        </w:r>
        <w:r>
          <w:rPr>
            <w:noProof/>
          </w:rPr>
          <w:fldChar w:fldCharType="end"/>
        </w:r>
      </w:p>
    </w:sdtContent>
  </w:sdt>
  <w:p w:rsidR="00816F1E" w:rsidRDefault="00816F1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522EC" w:rsidRDefault="001522EC" w:rsidP="00E41867">
      <w:r>
        <w:separator/>
      </w:r>
    </w:p>
  </w:footnote>
  <w:footnote w:type="continuationSeparator" w:id="0">
    <w:p w:rsidR="001522EC" w:rsidRDefault="001522EC" w:rsidP="00E418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D55DA"/>
    <w:multiLevelType w:val="hybridMultilevel"/>
    <w:tmpl w:val="76B6B4F0"/>
    <w:lvl w:ilvl="0" w:tplc="4B7C68FE">
      <w:start w:val="1"/>
      <w:numFmt w:val="decimal"/>
      <w:lvlText w:val="%1."/>
      <w:lvlJc w:val="left"/>
      <w:pPr>
        <w:ind w:left="720" w:hanging="360"/>
      </w:pPr>
      <w:rPr>
        <w:rFonts w:hint="default"/>
        <w:u w:val="single"/>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0C7A4B13"/>
    <w:multiLevelType w:val="hybridMultilevel"/>
    <w:tmpl w:val="64E2913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21B26994"/>
    <w:multiLevelType w:val="hybridMultilevel"/>
    <w:tmpl w:val="65CE28A6"/>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2777347B"/>
    <w:multiLevelType w:val="hybridMultilevel"/>
    <w:tmpl w:val="78BAE5BC"/>
    <w:lvl w:ilvl="0" w:tplc="7F72CFB2">
      <w:numFmt w:val="bullet"/>
      <w:lvlText w:val="-"/>
      <w:lvlJc w:val="left"/>
      <w:pPr>
        <w:ind w:left="927" w:hanging="360"/>
      </w:pPr>
      <w:rPr>
        <w:rFonts w:ascii="Arial" w:eastAsia="Times New Roman" w:hAnsi="Arial" w:cs="Aria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4" w15:restartNumberingAfterBreak="0">
    <w:nsid w:val="507140DE"/>
    <w:multiLevelType w:val="hybridMultilevel"/>
    <w:tmpl w:val="72BAAA4C"/>
    <w:lvl w:ilvl="0" w:tplc="7F72CFB2">
      <w:numFmt w:val="bullet"/>
      <w:lvlText w:val="-"/>
      <w:lvlJc w:val="left"/>
      <w:pPr>
        <w:ind w:left="1287" w:hanging="360"/>
      </w:pPr>
      <w:rPr>
        <w:rFonts w:ascii="Arial" w:eastAsia="Times New Roman" w:hAnsi="Arial" w:cs="Arial" w:hint="default"/>
      </w:rPr>
    </w:lvl>
    <w:lvl w:ilvl="1" w:tplc="04100003" w:tentative="1">
      <w:start w:val="1"/>
      <w:numFmt w:val="bullet"/>
      <w:lvlText w:val="o"/>
      <w:lvlJc w:val="left"/>
      <w:pPr>
        <w:ind w:left="2007" w:hanging="360"/>
      </w:pPr>
      <w:rPr>
        <w:rFonts w:ascii="Courier New" w:hAnsi="Courier New" w:cs="Courier New" w:hint="default"/>
      </w:rPr>
    </w:lvl>
    <w:lvl w:ilvl="2" w:tplc="04100005" w:tentative="1">
      <w:start w:val="1"/>
      <w:numFmt w:val="bullet"/>
      <w:lvlText w:val=""/>
      <w:lvlJc w:val="left"/>
      <w:pPr>
        <w:ind w:left="2727" w:hanging="360"/>
      </w:pPr>
      <w:rPr>
        <w:rFonts w:ascii="Wingdings" w:hAnsi="Wingdings" w:hint="default"/>
      </w:rPr>
    </w:lvl>
    <w:lvl w:ilvl="3" w:tplc="04100001" w:tentative="1">
      <w:start w:val="1"/>
      <w:numFmt w:val="bullet"/>
      <w:lvlText w:val=""/>
      <w:lvlJc w:val="left"/>
      <w:pPr>
        <w:ind w:left="3447" w:hanging="360"/>
      </w:pPr>
      <w:rPr>
        <w:rFonts w:ascii="Symbol" w:hAnsi="Symbol" w:hint="default"/>
      </w:rPr>
    </w:lvl>
    <w:lvl w:ilvl="4" w:tplc="04100003" w:tentative="1">
      <w:start w:val="1"/>
      <w:numFmt w:val="bullet"/>
      <w:lvlText w:val="o"/>
      <w:lvlJc w:val="left"/>
      <w:pPr>
        <w:ind w:left="4167" w:hanging="360"/>
      </w:pPr>
      <w:rPr>
        <w:rFonts w:ascii="Courier New" w:hAnsi="Courier New" w:cs="Courier New" w:hint="default"/>
      </w:rPr>
    </w:lvl>
    <w:lvl w:ilvl="5" w:tplc="04100005" w:tentative="1">
      <w:start w:val="1"/>
      <w:numFmt w:val="bullet"/>
      <w:lvlText w:val=""/>
      <w:lvlJc w:val="left"/>
      <w:pPr>
        <w:ind w:left="4887" w:hanging="360"/>
      </w:pPr>
      <w:rPr>
        <w:rFonts w:ascii="Wingdings" w:hAnsi="Wingdings" w:hint="default"/>
      </w:rPr>
    </w:lvl>
    <w:lvl w:ilvl="6" w:tplc="04100001" w:tentative="1">
      <w:start w:val="1"/>
      <w:numFmt w:val="bullet"/>
      <w:lvlText w:val=""/>
      <w:lvlJc w:val="left"/>
      <w:pPr>
        <w:ind w:left="5607" w:hanging="360"/>
      </w:pPr>
      <w:rPr>
        <w:rFonts w:ascii="Symbol" w:hAnsi="Symbol" w:hint="default"/>
      </w:rPr>
    </w:lvl>
    <w:lvl w:ilvl="7" w:tplc="04100003" w:tentative="1">
      <w:start w:val="1"/>
      <w:numFmt w:val="bullet"/>
      <w:lvlText w:val="o"/>
      <w:lvlJc w:val="left"/>
      <w:pPr>
        <w:ind w:left="6327" w:hanging="360"/>
      </w:pPr>
      <w:rPr>
        <w:rFonts w:ascii="Courier New" w:hAnsi="Courier New" w:cs="Courier New" w:hint="default"/>
      </w:rPr>
    </w:lvl>
    <w:lvl w:ilvl="8" w:tplc="04100005" w:tentative="1">
      <w:start w:val="1"/>
      <w:numFmt w:val="bullet"/>
      <w:lvlText w:val=""/>
      <w:lvlJc w:val="left"/>
      <w:pPr>
        <w:ind w:left="7047" w:hanging="360"/>
      </w:pPr>
      <w:rPr>
        <w:rFonts w:ascii="Wingdings" w:hAnsi="Wingdings" w:hint="default"/>
      </w:rPr>
    </w:lvl>
  </w:abstractNum>
  <w:abstractNum w:abstractNumId="5" w15:restartNumberingAfterBreak="0">
    <w:nsid w:val="55CE1134"/>
    <w:multiLevelType w:val="hybridMultilevel"/>
    <w:tmpl w:val="4BC2C4A2"/>
    <w:lvl w:ilvl="0" w:tplc="2B84CC68">
      <w:start w:val="3"/>
      <w:numFmt w:val="bullet"/>
      <w:lvlText w:val="–"/>
      <w:lvlJc w:val="left"/>
      <w:pPr>
        <w:ind w:left="720" w:hanging="360"/>
      </w:pPr>
      <w:rPr>
        <w:rFonts w:ascii="Andalus" w:eastAsia="Verdana" w:hAnsi="Andalu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D82736"/>
    <w:multiLevelType w:val="hybridMultilevel"/>
    <w:tmpl w:val="D92CEDB8"/>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DBC2DEA"/>
    <w:multiLevelType w:val="hybridMultilevel"/>
    <w:tmpl w:val="2B3AC4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6730E3A"/>
    <w:multiLevelType w:val="hybridMultilevel"/>
    <w:tmpl w:val="9AEA95B6"/>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674F0D20"/>
    <w:multiLevelType w:val="hybridMultilevel"/>
    <w:tmpl w:val="7C066380"/>
    <w:lvl w:ilvl="0" w:tplc="2B84CC68">
      <w:start w:val="3"/>
      <w:numFmt w:val="bullet"/>
      <w:lvlText w:val="–"/>
      <w:lvlJc w:val="left"/>
      <w:pPr>
        <w:ind w:left="720" w:hanging="360"/>
      </w:pPr>
      <w:rPr>
        <w:rFonts w:ascii="Andalus" w:eastAsia="Verdana" w:hAnsi="Andalu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6A616863"/>
    <w:multiLevelType w:val="hybridMultilevel"/>
    <w:tmpl w:val="D196F996"/>
    <w:lvl w:ilvl="0" w:tplc="6C8CBE86">
      <w:numFmt w:val="bullet"/>
      <w:lvlText w:val="-"/>
      <w:lvlJc w:val="left"/>
      <w:pPr>
        <w:ind w:left="927" w:hanging="360"/>
      </w:pPr>
      <w:rPr>
        <w:rFonts w:ascii="Arial" w:eastAsia="Calibri" w:hAnsi="Arial" w:cs="Aria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11" w15:restartNumberingAfterBreak="0">
    <w:nsid w:val="6ABC0DBF"/>
    <w:multiLevelType w:val="hybridMultilevel"/>
    <w:tmpl w:val="371A47F4"/>
    <w:lvl w:ilvl="0" w:tplc="04100017">
      <w:start w:val="1"/>
      <w:numFmt w:val="lowerLetter"/>
      <w:lvlText w:val="%1)"/>
      <w:lvlJc w:val="left"/>
      <w:pPr>
        <w:ind w:left="1287" w:hanging="360"/>
      </w:pPr>
    </w:lvl>
    <w:lvl w:ilvl="1" w:tplc="D21889A6">
      <w:start w:val="1"/>
      <w:numFmt w:val="lowerLetter"/>
      <w:lvlText w:val="(%2)"/>
      <w:lvlJc w:val="left"/>
      <w:pPr>
        <w:ind w:left="2007" w:hanging="360"/>
      </w:pPr>
      <w:rPr>
        <w:rFonts w:hint="default"/>
      </w:rPr>
    </w:lvl>
    <w:lvl w:ilvl="2" w:tplc="0410001B" w:tentative="1">
      <w:start w:val="1"/>
      <w:numFmt w:val="lowerRoman"/>
      <w:lvlText w:val="%3."/>
      <w:lvlJc w:val="right"/>
      <w:pPr>
        <w:ind w:left="2727" w:hanging="180"/>
      </w:pPr>
    </w:lvl>
    <w:lvl w:ilvl="3" w:tplc="0410000F" w:tentative="1">
      <w:start w:val="1"/>
      <w:numFmt w:val="decimal"/>
      <w:lvlText w:val="%4."/>
      <w:lvlJc w:val="left"/>
      <w:pPr>
        <w:ind w:left="3447" w:hanging="360"/>
      </w:pPr>
    </w:lvl>
    <w:lvl w:ilvl="4" w:tplc="04100019" w:tentative="1">
      <w:start w:val="1"/>
      <w:numFmt w:val="lowerLetter"/>
      <w:lvlText w:val="%5."/>
      <w:lvlJc w:val="left"/>
      <w:pPr>
        <w:ind w:left="4167" w:hanging="360"/>
      </w:pPr>
    </w:lvl>
    <w:lvl w:ilvl="5" w:tplc="0410001B" w:tentative="1">
      <w:start w:val="1"/>
      <w:numFmt w:val="lowerRoman"/>
      <w:lvlText w:val="%6."/>
      <w:lvlJc w:val="right"/>
      <w:pPr>
        <w:ind w:left="4887" w:hanging="180"/>
      </w:pPr>
    </w:lvl>
    <w:lvl w:ilvl="6" w:tplc="0410000F" w:tentative="1">
      <w:start w:val="1"/>
      <w:numFmt w:val="decimal"/>
      <w:lvlText w:val="%7."/>
      <w:lvlJc w:val="left"/>
      <w:pPr>
        <w:ind w:left="5607" w:hanging="360"/>
      </w:pPr>
    </w:lvl>
    <w:lvl w:ilvl="7" w:tplc="04100019" w:tentative="1">
      <w:start w:val="1"/>
      <w:numFmt w:val="lowerLetter"/>
      <w:lvlText w:val="%8."/>
      <w:lvlJc w:val="left"/>
      <w:pPr>
        <w:ind w:left="6327" w:hanging="360"/>
      </w:pPr>
    </w:lvl>
    <w:lvl w:ilvl="8" w:tplc="0410001B" w:tentative="1">
      <w:start w:val="1"/>
      <w:numFmt w:val="lowerRoman"/>
      <w:lvlText w:val="%9."/>
      <w:lvlJc w:val="right"/>
      <w:pPr>
        <w:ind w:left="7047" w:hanging="180"/>
      </w:pPr>
    </w:lvl>
  </w:abstractNum>
  <w:abstractNum w:abstractNumId="12" w15:restartNumberingAfterBreak="0">
    <w:nsid w:val="74396DC4"/>
    <w:multiLevelType w:val="hybridMultilevel"/>
    <w:tmpl w:val="587E5152"/>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3" w15:restartNumberingAfterBreak="0">
    <w:nsid w:val="780941BC"/>
    <w:multiLevelType w:val="hybridMultilevel"/>
    <w:tmpl w:val="87426278"/>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FFD4333C">
      <w:numFmt w:val="bullet"/>
      <w:lvlText w:val="-"/>
      <w:lvlJc w:val="left"/>
      <w:pPr>
        <w:ind w:left="2340" w:hanging="360"/>
      </w:pPr>
      <w:rPr>
        <w:rFonts w:ascii="Cambria" w:eastAsia="Times New Roman" w:hAnsi="Cambria" w:cs="Andalu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CA0566B"/>
    <w:multiLevelType w:val="hybridMultilevel"/>
    <w:tmpl w:val="F2F64BB4"/>
    <w:lvl w:ilvl="0" w:tplc="2B84CC68">
      <w:start w:val="3"/>
      <w:numFmt w:val="bullet"/>
      <w:lvlText w:val="–"/>
      <w:lvlJc w:val="left"/>
      <w:pPr>
        <w:ind w:left="720" w:hanging="360"/>
      </w:pPr>
      <w:rPr>
        <w:rFonts w:ascii="Andalus" w:eastAsia="Verdana" w:hAnsi="Andalu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11"/>
  </w:num>
  <w:num w:numId="4">
    <w:abstractNumId w:val="10"/>
  </w:num>
  <w:num w:numId="5">
    <w:abstractNumId w:val="4"/>
  </w:num>
  <w:num w:numId="6">
    <w:abstractNumId w:val="12"/>
  </w:num>
  <w:num w:numId="7">
    <w:abstractNumId w:val="2"/>
  </w:num>
  <w:num w:numId="8">
    <w:abstractNumId w:val="6"/>
  </w:num>
  <w:num w:numId="9">
    <w:abstractNumId w:val="13"/>
  </w:num>
  <w:num w:numId="10">
    <w:abstractNumId w:val="8"/>
  </w:num>
  <w:num w:numId="11">
    <w:abstractNumId w:val="5"/>
  </w:num>
  <w:num w:numId="12">
    <w:abstractNumId w:val="14"/>
  </w:num>
  <w:num w:numId="13">
    <w:abstractNumId w:val="1"/>
  </w:num>
  <w:num w:numId="14">
    <w:abstractNumId w:val="9"/>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9"/>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854"/>
    <w:rsid w:val="00000582"/>
    <w:rsid w:val="00041975"/>
    <w:rsid w:val="00052BAB"/>
    <w:rsid w:val="000534A1"/>
    <w:rsid w:val="000A1C36"/>
    <w:rsid w:val="000B5DEC"/>
    <w:rsid w:val="000F3513"/>
    <w:rsid w:val="0011164B"/>
    <w:rsid w:val="00113726"/>
    <w:rsid w:val="0011782E"/>
    <w:rsid w:val="00126F87"/>
    <w:rsid w:val="001414C4"/>
    <w:rsid w:val="001522EC"/>
    <w:rsid w:val="001E5076"/>
    <w:rsid w:val="001F5B43"/>
    <w:rsid w:val="00211E74"/>
    <w:rsid w:val="0024223B"/>
    <w:rsid w:val="002908AB"/>
    <w:rsid w:val="002920E8"/>
    <w:rsid w:val="002B37F6"/>
    <w:rsid w:val="002B794E"/>
    <w:rsid w:val="002C06E6"/>
    <w:rsid w:val="002F5C5F"/>
    <w:rsid w:val="00320BE8"/>
    <w:rsid w:val="00343164"/>
    <w:rsid w:val="00364139"/>
    <w:rsid w:val="00397810"/>
    <w:rsid w:val="003A46B6"/>
    <w:rsid w:val="003B12E2"/>
    <w:rsid w:val="003C2B3F"/>
    <w:rsid w:val="003E37A9"/>
    <w:rsid w:val="003F2D30"/>
    <w:rsid w:val="00484D3F"/>
    <w:rsid w:val="00487D65"/>
    <w:rsid w:val="004A149B"/>
    <w:rsid w:val="004B5DA8"/>
    <w:rsid w:val="004B6994"/>
    <w:rsid w:val="004C0304"/>
    <w:rsid w:val="004E4421"/>
    <w:rsid w:val="004E70F1"/>
    <w:rsid w:val="004F2909"/>
    <w:rsid w:val="00527012"/>
    <w:rsid w:val="00530E6D"/>
    <w:rsid w:val="005311F7"/>
    <w:rsid w:val="00562915"/>
    <w:rsid w:val="005843E0"/>
    <w:rsid w:val="005B7D2C"/>
    <w:rsid w:val="005E16FE"/>
    <w:rsid w:val="005E1763"/>
    <w:rsid w:val="005E36C6"/>
    <w:rsid w:val="005F5B2D"/>
    <w:rsid w:val="00684C28"/>
    <w:rsid w:val="00687EC9"/>
    <w:rsid w:val="00694CD1"/>
    <w:rsid w:val="006A654A"/>
    <w:rsid w:val="006B4821"/>
    <w:rsid w:val="006B5815"/>
    <w:rsid w:val="006F0F1A"/>
    <w:rsid w:val="00700F8B"/>
    <w:rsid w:val="00705B25"/>
    <w:rsid w:val="00716BA6"/>
    <w:rsid w:val="007451A9"/>
    <w:rsid w:val="0074721D"/>
    <w:rsid w:val="00757E94"/>
    <w:rsid w:val="00775CB0"/>
    <w:rsid w:val="00781679"/>
    <w:rsid w:val="00782DB4"/>
    <w:rsid w:val="007842A0"/>
    <w:rsid w:val="007866B0"/>
    <w:rsid w:val="00790906"/>
    <w:rsid w:val="00795953"/>
    <w:rsid w:val="007A2F67"/>
    <w:rsid w:val="007E6F61"/>
    <w:rsid w:val="00816F1E"/>
    <w:rsid w:val="00820FB5"/>
    <w:rsid w:val="00884E13"/>
    <w:rsid w:val="00885175"/>
    <w:rsid w:val="008B16D7"/>
    <w:rsid w:val="008B6033"/>
    <w:rsid w:val="008E27B9"/>
    <w:rsid w:val="008E5854"/>
    <w:rsid w:val="0093712C"/>
    <w:rsid w:val="00946FC3"/>
    <w:rsid w:val="009710F0"/>
    <w:rsid w:val="00980D33"/>
    <w:rsid w:val="00980EB9"/>
    <w:rsid w:val="009E1619"/>
    <w:rsid w:val="00A0061C"/>
    <w:rsid w:val="00A06900"/>
    <w:rsid w:val="00A1799F"/>
    <w:rsid w:val="00A22598"/>
    <w:rsid w:val="00A31987"/>
    <w:rsid w:val="00A56E27"/>
    <w:rsid w:val="00A67A1E"/>
    <w:rsid w:val="00A74505"/>
    <w:rsid w:val="00A9290F"/>
    <w:rsid w:val="00AA32CC"/>
    <w:rsid w:val="00AA6F94"/>
    <w:rsid w:val="00AE7D64"/>
    <w:rsid w:val="00B010C3"/>
    <w:rsid w:val="00B22B9A"/>
    <w:rsid w:val="00B42ACA"/>
    <w:rsid w:val="00B518C4"/>
    <w:rsid w:val="00B54FAE"/>
    <w:rsid w:val="00B6579F"/>
    <w:rsid w:val="00B8673A"/>
    <w:rsid w:val="00BB09FE"/>
    <w:rsid w:val="00BB266E"/>
    <w:rsid w:val="00BE3366"/>
    <w:rsid w:val="00C31639"/>
    <w:rsid w:val="00C73450"/>
    <w:rsid w:val="00C87EA8"/>
    <w:rsid w:val="00C94793"/>
    <w:rsid w:val="00C97727"/>
    <w:rsid w:val="00CB2222"/>
    <w:rsid w:val="00CE3AE9"/>
    <w:rsid w:val="00D056CE"/>
    <w:rsid w:val="00D3726C"/>
    <w:rsid w:val="00D4205B"/>
    <w:rsid w:val="00D72CAC"/>
    <w:rsid w:val="00D93977"/>
    <w:rsid w:val="00DF29E5"/>
    <w:rsid w:val="00E06425"/>
    <w:rsid w:val="00E15A07"/>
    <w:rsid w:val="00E236C5"/>
    <w:rsid w:val="00E32C67"/>
    <w:rsid w:val="00E41867"/>
    <w:rsid w:val="00E829A1"/>
    <w:rsid w:val="00EF29EA"/>
    <w:rsid w:val="00F52AC9"/>
    <w:rsid w:val="00F57A3C"/>
    <w:rsid w:val="00F911B4"/>
    <w:rsid w:val="00FA3B24"/>
    <w:rsid w:val="00FC238D"/>
    <w:rsid w:val="00FD3A3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BE0217C-DEDB-43F0-998E-E6D0CBFBB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26F87"/>
    <w:pPr>
      <w:spacing w:after="0" w:line="240" w:lineRule="auto"/>
    </w:pPr>
    <w:rPr>
      <w:rFonts w:ascii="Times New Roman" w:eastAsia="PMingLiU" w:hAnsi="Times New Roman" w:cs="Times New Roman"/>
      <w:lang w:val="en-US"/>
    </w:rPr>
  </w:style>
  <w:style w:type="paragraph" w:styleId="Titolo1">
    <w:name w:val="heading 1"/>
    <w:basedOn w:val="Normale"/>
    <w:next w:val="Normale"/>
    <w:link w:val="Titolo1Carattere"/>
    <w:qFormat/>
    <w:rsid w:val="008E5854"/>
    <w:pPr>
      <w:keepNext/>
      <w:jc w:val="right"/>
      <w:outlineLvl w:val="0"/>
    </w:pPr>
    <w:rPr>
      <w:rFonts w:eastAsia="Times New Roman"/>
      <w:i/>
      <w:sz w:val="32"/>
      <w:szCs w:val="20"/>
      <w:lang w:val="it-IT"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rsid w:val="008E5854"/>
    <w:rPr>
      <w:rFonts w:ascii="Times New Roman" w:eastAsia="Times New Roman" w:hAnsi="Times New Roman" w:cs="Times New Roman"/>
      <w:i/>
      <w:sz w:val="32"/>
      <w:szCs w:val="20"/>
      <w:lang w:eastAsia="it-IT"/>
    </w:rPr>
  </w:style>
  <w:style w:type="paragraph" w:customStyle="1" w:styleId="Normale1">
    <w:name w:val="Normale1"/>
    <w:rsid w:val="008E5854"/>
    <w:pPr>
      <w:spacing w:after="0"/>
    </w:pPr>
    <w:rPr>
      <w:rFonts w:ascii="Arial" w:eastAsia="Arial" w:hAnsi="Arial" w:cs="Arial"/>
      <w:color w:val="000000"/>
      <w:lang w:eastAsia="it-IT"/>
    </w:rPr>
  </w:style>
  <w:style w:type="paragraph" w:styleId="Nessunaspaziatura">
    <w:name w:val="No Spacing"/>
    <w:link w:val="NessunaspaziaturaCarattere"/>
    <w:uiPriority w:val="1"/>
    <w:qFormat/>
    <w:rsid w:val="008E5854"/>
    <w:pPr>
      <w:widowControl w:val="0"/>
      <w:spacing w:after="0" w:line="240" w:lineRule="auto"/>
    </w:pPr>
    <w:rPr>
      <w:rFonts w:ascii="Times New Roman" w:eastAsia="Times New Roman" w:hAnsi="Times New Roman" w:cs="Times New Roman"/>
      <w:color w:val="000000"/>
      <w:sz w:val="20"/>
      <w:szCs w:val="20"/>
      <w:lang w:eastAsia="it-IT"/>
    </w:rPr>
  </w:style>
  <w:style w:type="character" w:customStyle="1" w:styleId="NessunaspaziaturaCarattere">
    <w:name w:val="Nessuna spaziatura Carattere"/>
    <w:basedOn w:val="Carpredefinitoparagrafo"/>
    <w:link w:val="Nessunaspaziatura"/>
    <w:uiPriority w:val="1"/>
    <w:rsid w:val="008E5854"/>
    <w:rPr>
      <w:rFonts w:ascii="Times New Roman" w:eastAsia="Times New Roman" w:hAnsi="Times New Roman" w:cs="Times New Roman"/>
      <w:color w:val="000000"/>
      <w:sz w:val="20"/>
      <w:szCs w:val="20"/>
      <w:lang w:eastAsia="it-IT"/>
    </w:rPr>
  </w:style>
  <w:style w:type="character" w:styleId="Collegamentoipertestuale">
    <w:name w:val="Hyperlink"/>
    <w:semiHidden/>
    <w:rsid w:val="008E5854"/>
    <w:rPr>
      <w:color w:val="0000FF"/>
      <w:u w:val="single"/>
    </w:rPr>
  </w:style>
  <w:style w:type="paragraph" w:styleId="Testofumetto">
    <w:name w:val="Balloon Text"/>
    <w:basedOn w:val="Normale"/>
    <w:link w:val="TestofumettoCarattere"/>
    <w:uiPriority w:val="99"/>
    <w:semiHidden/>
    <w:unhideWhenUsed/>
    <w:rsid w:val="008E5854"/>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8E5854"/>
    <w:rPr>
      <w:rFonts w:ascii="Tahoma" w:eastAsia="PMingLiU" w:hAnsi="Tahoma" w:cs="Tahoma"/>
      <w:sz w:val="16"/>
      <w:szCs w:val="16"/>
      <w:lang w:val="en-US"/>
    </w:rPr>
  </w:style>
  <w:style w:type="paragraph" w:styleId="Testonotaapidipagina">
    <w:name w:val="footnote text"/>
    <w:basedOn w:val="Normale"/>
    <w:link w:val="TestonotaapidipaginaCarattere"/>
    <w:uiPriority w:val="99"/>
    <w:semiHidden/>
    <w:unhideWhenUsed/>
    <w:rsid w:val="008E5854"/>
    <w:rPr>
      <w:sz w:val="20"/>
      <w:szCs w:val="20"/>
    </w:rPr>
  </w:style>
  <w:style w:type="character" w:customStyle="1" w:styleId="TestonotaapidipaginaCarattere">
    <w:name w:val="Testo nota a piè di pagina Carattere"/>
    <w:basedOn w:val="Carpredefinitoparagrafo"/>
    <w:link w:val="Testonotaapidipagina"/>
    <w:uiPriority w:val="99"/>
    <w:semiHidden/>
    <w:rsid w:val="008E5854"/>
    <w:rPr>
      <w:rFonts w:ascii="Times New Roman" w:eastAsia="PMingLiU" w:hAnsi="Times New Roman" w:cs="Times New Roman"/>
      <w:sz w:val="20"/>
      <w:szCs w:val="20"/>
      <w:lang w:val="en-US"/>
    </w:rPr>
  </w:style>
  <w:style w:type="paragraph" w:styleId="NormaleWeb">
    <w:name w:val="Normal (Web)"/>
    <w:basedOn w:val="Normale"/>
    <w:uiPriority w:val="99"/>
    <w:semiHidden/>
    <w:unhideWhenUsed/>
    <w:rsid w:val="008E5854"/>
    <w:pPr>
      <w:spacing w:before="100" w:beforeAutospacing="1" w:after="100" w:afterAutospacing="1"/>
    </w:pPr>
    <w:rPr>
      <w:rFonts w:eastAsia="Times New Roman"/>
      <w:sz w:val="24"/>
      <w:szCs w:val="24"/>
      <w:lang w:val="it-IT" w:eastAsia="it-IT"/>
    </w:rPr>
  </w:style>
  <w:style w:type="character" w:customStyle="1" w:styleId="apple-converted-space">
    <w:name w:val="apple-converted-space"/>
    <w:basedOn w:val="Carpredefinitoparagrafo"/>
    <w:rsid w:val="008E5854"/>
  </w:style>
  <w:style w:type="paragraph" w:styleId="Intestazione">
    <w:name w:val="header"/>
    <w:basedOn w:val="Normale"/>
    <w:link w:val="IntestazioneCarattere"/>
    <w:uiPriority w:val="99"/>
    <w:semiHidden/>
    <w:unhideWhenUsed/>
    <w:rsid w:val="008E5854"/>
    <w:pPr>
      <w:tabs>
        <w:tab w:val="center" w:pos="4819"/>
        <w:tab w:val="right" w:pos="9638"/>
      </w:tabs>
    </w:pPr>
  </w:style>
  <w:style w:type="character" w:customStyle="1" w:styleId="IntestazioneCarattere">
    <w:name w:val="Intestazione Carattere"/>
    <w:basedOn w:val="Carpredefinitoparagrafo"/>
    <w:link w:val="Intestazione"/>
    <w:uiPriority w:val="99"/>
    <w:semiHidden/>
    <w:rsid w:val="008E5854"/>
    <w:rPr>
      <w:rFonts w:ascii="Times New Roman" w:eastAsia="PMingLiU" w:hAnsi="Times New Roman" w:cs="Times New Roman"/>
      <w:lang w:val="en-US"/>
    </w:rPr>
  </w:style>
  <w:style w:type="paragraph" w:styleId="Pidipagina">
    <w:name w:val="footer"/>
    <w:basedOn w:val="Normale"/>
    <w:link w:val="PidipaginaCarattere"/>
    <w:uiPriority w:val="99"/>
    <w:unhideWhenUsed/>
    <w:rsid w:val="008E5854"/>
    <w:pPr>
      <w:tabs>
        <w:tab w:val="center" w:pos="4819"/>
        <w:tab w:val="right" w:pos="9638"/>
      </w:tabs>
    </w:pPr>
  </w:style>
  <w:style w:type="character" w:customStyle="1" w:styleId="PidipaginaCarattere">
    <w:name w:val="Piè di pagina Carattere"/>
    <w:basedOn w:val="Carpredefinitoparagrafo"/>
    <w:link w:val="Pidipagina"/>
    <w:uiPriority w:val="99"/>
    <w:rsid w:val="008E5854"/>
    <w:rPr>
      <w:rFonts w:ascii="Times New Roman" w:eastAsia="PMingLiU" w:hAnsi="Times New Roman" w:cs="Times New Roman"/>
      <w:lang w:val="en-US"/>
    </w:rPr>
  </w:style>
  <w:style w:type="paragraph" w:styleId="Paragrafoelenco">
    <w:name w:val="List Paragraph"/>
    <w:basedOn w:val="Normale"/>
    <w:uiPriority w:val="34"/>
    <w:qFormat/>
    <w:rsid w:val="00211E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osettiegatti.eu/info/norme/statali/2016_0175.htm" TargetMode="External"/><Relationship Id="rId18" Type="http://schemas.openxmlformats.org/officeDocument/2006/relationships/hyperlink" Target="http://www.bosettiegatti.eu/info/norme/statali/2014_0190.htm" TargetMode="External"/><Relationship Id="rId26" Type="http://schemas.openxmlformats.org/officeDocument/2006/relationships/hyperlink" Target="http://www.sistema-bdi.it/index.php?bdinr=021&amp;docnr=96557%20&amp;stato=lext" TargetMode="Externa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sistema-bdi.it/index.php?bdinr=021&amp;docnr=96557%20&amp;stato=lext" TargetMode="External"/><Relationship Id="rId17" Type="http://schemas.openxmlformats.org/officeDocument/2006/relationships/hyperlink" Target="http://www.bosettiegatti.eu/info/norme/statali/codicecivile.htm" TargetMode="External"/><Relationship Id="rId25" Type="http://schemas.openxmlformats.org/officeDocument/2006/relationships/hyperlink" Target="http://www.sistema-bdi.it/index.php?bdinr=021&amp;docnr=96557%20&amp;stato=lext"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bosettiegatti.eu/info/norme/statali/2014_0190.htm" TargetMode="External"/><Relationship Id="rId20" Type="http://schemas.openxmlformats.org/officeDocument/2006/relationships/footer" Target="footer1.xml"/><Relationship Id="rId29" Type="http://schemas.openxmlformats.org/officeDocument/2006/relationships/hyperlink" Target="http://www.sistema-bdi.it/index.php?bdinr=021&amp;docnr=96557%20&amp;stato=lex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istema-bdi.it/index.php?bdinr=021&amp;docnr=96557%20&amp;stato=lext" TargetMode="External"/><Relationship Id="rId24" Type="http://schemas.openxmlformats.org/officeDocument/2006/relationships/hyperlink" Target="http://www.sistema-bdi.it/index.php?bdinr=021&amp;docnr=96557%20&amp;stato=lext"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bosettiegatti.eu/info/norme/statali/2014_0114.htm" TargetMode="External"/><Relationship Id="rId23" Type="http://schemas.openxmlformats.org/officeDocument/2006/relationships/hyperlink" Target="http://www.sistema-bdi.it/index.php?bdinr=021&amp;docnr=96557%20&amp;stato=lext" TargetMode="External"/><Relationship Id="rId28" Type="http://schemas.openxmlformats.org/officeDocument/2006/relationships/hyperlink" Target="http://www.sistema-bdi.it/index.php?bdinr=021&amp;docnr=96557%20&amp;stato=lext" TargetMode="External"/><Relationship Id="rId10" Type="http://schemas.openxmlformats.org/officeDocument/2006/relationships/hyperlink" Target="http://www.sistema-bdi.it/index.php?bdinr=021&amp;docnr=96557%20&amp;stato=lext" TargetMode="External"/><Relationship Id="rId19" Type="http://schemas.openxmlformats.org/officeDocument/2006/relationships/hyperlink" Target="http://www.bosettiegatti.eu/info/norme/statali/codicecivile.htm" TargetMode="External"/><Relationship Id="rId31" Type="http://schemas.openxmlformats.org/officeDocument/2006/relationships/hyperlink" Target="http://www.sistema-bdi.it/index.php?bdinr=021&amp;docnr=96557%20&amp;stato=lext" TargetMode="External"/><Relationship Id="rId4" Type="http://schemas.openxmlformats.org/officeDocument/2006/relationships/settings" Target="settings.xml"/><Relationship Id="rId9" Type="http://schemas.openxmlformats.org/officeDocument/2006/relationships/hyperlink" Target="http://www.sistema-bdi.it/index.php?bdinr=021&amp;docnr=96557%20&amp;stato=lext" TargetMode="External"/><Relationship Id="rId14" Type="http://schemas.openxmlformats.org/officeDocument/2006/relationships/hyperlink" Target="http://www.bosettiegatti.eu/info/norme/statali/2016_0175.htm" TargetMode="External"/><Relationship Id="rId22" Type="http://schemas.openxmlformats.org/officeDocument/2006/relationships/hyperlink" Target="http://www.sistema-bdi.it/index.php?bdinr=021&amp;docnr=96557%20&amp;stato=lext" TargetMode="External"/><Relationship Id="rId27" Type="http://schemas.openxmlformats.org/officeDocument/2006/relationships/hyperlink" Target="http://www.sistema-bdi.it/index.php?bdinr=021&amp;docnr=96557%20&amp;stato=lext" TargetMode="External"/><Relationship Id="rId30" Type="http://schemas.openxmlformats.org/officeDocument/2006/relationships/hyperlink" Target="http://www.sistema-bdi.it/index.php?bdinr=021&amp;docnr=96557%20&amp;stato=lext" TargetMode="External"/><Relationship Id="rId8" Type="http://schemas.openxmlformats.org/officeDocument/2006/relationships/hyperlink" Target="http://www.sistema-bdi.it/index.php?bdinr=021&amp;docnr=96557%20&amp;stato=lext"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1.gif"/></Relationships>
</file>

<file path=word/_rels/footer2.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2017-09-13T00:00:00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3325</Words>
  <Characters>18954</Characters>
  <Application>Microsoft Office Word</Application>
  <DocSecurity>0</DocSecurity>
  <Lines>157</Lines>
  <Paragraphs>44</Paragraphs>
  <ScaleCrop>false</ScaleCrop>
  <HeadingPairs>
    <vt:vector size="2" baseType="variant">
      <vt:variant>
        <vt:lpstr>Titolo</vt:lpstr>
      </vt:variant>
      <vt:variant>
        <vt:i4>1</vt:i4>
      </vt:variant>
    </vt:vector>
  </HeadingPairs>
  <TitlesOfParts>
    <vt:vector size="1" baseType="lpstr">
      <vt:lpstr>RELAZIONE SULLA REVISIONE STRAORDINARIA DELLE SOCIETÀ PARTECIPATE</vt:lpstr>
    </vt:vector>
  </TitlesOfParts>
  <Company>Comune di Assoro</Company>
  <LinksUpToDate>false</LinksUpToDate>
  <CharactersWithSpaces>22235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RELAZIONE SULLA REVISIONE STRAORDINARIA DELLE SOCIETÀ PARTECIPATE</dc:title>
  <dc:subject>(Art. 24 D. Lgs. 175/2016)</dc:subject>
  <dc:creator>Comune di Enna</dc:creator>
  <cp:lastModifiedBy>Utente Windows</cp:lastModifiedBy>
  <cp:revision>2</cp:revision>
  <cp:lastPrinted>2017-09-13T09:08:00Z</cp:lastPrinted>
  <dcterms:created xsi:type="dcterms:W3CDTF">2017-11-22T07:26:00Z</dcterms:created>
  <dcterms:modified xsi:type="dcterms:W3CDTF">2017-11-22T07:26:00Z</dcterms:modified>
</cp:coreProperties>
</file>